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5E4B" w14:textId="77777777" w:rsidR="00DA4398" w:rsidRDefault="00DA4398" w:rsidP="00DA4398">
      <w:pPr>
        <w:jc w:val="center"/>
        <w:rPr>
          <w:rFonts w:asciiTheme="majorHAnsi" w:hAnsiTheme="majorHAnsi"/>
          <w:b/>
          <w:sz w:val="32"/>
          <w:szCs w:val="32"/>
        </w:rPr>
      </w:pPr>
      <w:r w:rsidRPr="00DA4398">
        <w:rPr>
          <w:rFonts w:asciiTheme="majorHAnsi" w:hAnsiTheme="majorHAnsi"/>
          <w:b/>
          <w:sz w:val="32"/>
          <w:szCs w:val="32"/>
        </w:rPr>
        <w:t>Report on University Hospitals of Leicester NHS Trust Full Business Case for relocating Intensive Care Unit Level 3 beds out of Leicester General Hospital</w:t>
      </w:r>
    </w:p>
    <w:p w14:paraId="663A1611" w14:textId="77777777" w:rsidR="0063375A" w:rsidRDefault="0063375A" w:rsidP="00DA4398">
      <w:pPr>
        <w:jc w:val="center"/>
        <w:rPr>
          <w:rFonts w:asciiTheme="majorHAnsi" w:hAnsiTheme="majorHAnsi"/>
          <w:b/>
          <w:sz w:val="32"/>
          <w:szCs w:val="32"/>
        </w:rPr>
      </w:pPr>
    </w:p>
    <w:p w14:paraId="08C7A263" w14:textId="6DAD61F1" w:rsidR="00DC21C2" w:rsidRDefault="00DC21C2" w:rsidP="00DA4398">
      <w:pPr>
        <w:jc w:val="center"/>
        <w:rPr>
          <w:rFonts w:asciiTheme="majorHAnsi" w:hAnsiTheme="majorHAnsi"/>
          <w:b/>
          <w:sz w:val="32"/>
          <w:szCs w:val="32"/>
        </w:rPr>
      </w:pPr>
      <w:r>
        <w:rPr>
          <w:rFonts w:asciiTheme="majorHAnsi" w:hAnsiTheme="majorHAnsi"/>
          <w:b/>
          <w:sz w:val="32"/>
          <w:szCs w:val="32"/>
        </w:rPr>
        <w:t>Janet Underwood, Sally Ruane and Kathy Reynolds</w:t>
      </w:r>
    </w:p>
    <w:p w14:paraId="58CB5FF9" w14:textId="77777777" w:rsidR="0063375A" w:rsidRDefault="0063375A" w:rsidP="00DA4398">
      <w:pPr>
        <w:jc w:val="center"/>
        <w:rPr>
          <w:rFonts w:asciiTheme="majorHAnsi" w:hAnsiTheme="majorHAnsi"/>
          <w:b/>
          <w:sz w:val="32"/>
          <w:szCs w:val="32"/>
        </w:rPr>
      </w:pPr>
    </w:p>
    <w:p w14:paraId="4D150BE9" w14:textId="36F249CD" w:rsidR="0063375A" w:rsidRPr="00DA4398" w:rsidRDefault="0063375A" w:rsidP="00DA4398">
      <w:pPr>
        <w:jc w:val="center"/>
        <w:rPr>
          <w:rFonts w:asciiTheme="majorHAnsi" w:hAnsiTheme="majorHAnsi"/>
          <w:b/>
          <w:sz w:val="32"/>
          <w:szCs w:val="32"/>
        </w:rPr>
      </w:pPr>
      <w:r>
        <w:rPr>
          <w:rFonts w:asciiTheme="majorHAnsi" w:hAnsiTheme="majorHAnsi"/>
          <w:b/>
          <w:sz w:val="32"/>
          <w:szCs w:val="32"/>
        </w:rPr>
        <w:t xml:space="preserve">Revised Report </w:t>
      </w:r>
    </w:p>
    <w:p w14:paraId="3DB75A28" w14:textId="77777777" w:rsidR="00DA4398" w:rsidRPr="00DA4398" w:rsidRDefault="00DA4398" w:rsidP="00DA4398">
      <w:pPr>
        <w:rPr>
          <w:rFonts w:asciiTheme="majorHAnsi" w:hAnsiTheme="majorHAnsi"/>
          <w:b/>
          <w:sz w:val="32"/>
          <w:szCs w:val="32"/>
        </w:rPr>
      </w:pPr>
    </w:p>
    <w:p w14:paraId="3C3EF1DC" w14:textId="73ED982B" w:rsidR="00DA4398" w:rsidRPr="00D404D2" w:rsidRDefault="00086351">
      <w:pPr>
        <w:rPr>
          <w:rFonts w:asciiTheme="majorHAnsi" w:hAnsiTheme="majorHAnsi"/>
          <w:b/>
          <w:sz w:val="28"/>
          <w:szCs w:val="28"/>
        </w:rPr>
      </w:pPr>
      <w:r>
        <w:rPr>
          <w:rFonts w:asciiTheme="majorHAnsi" w:hAnsiTheme="majorHAnsi"/>
          <w:b/>
          <w:sz w:val="28"/>
          <w:szCs w:val="28"/>
        </w:rPr>
        <w:t>AMMENDMENTS</w:t>
      </w:r>
      <w:r w:rsidR="00DA4398" w:rsidRPr="00D404D2">
        <w:rPr>
          <w:rFonts w:asciiTheme="majorHAnsi" w:hAnsiTheme="majorHAnsi"/>
          <w:b/>
          <w:sz w:val="28"/>
          <w:szCs w:val="28"/>
        </w:rPr>
        <w:t xml:space="preserve"> </w:t>
      </w:r>
    </w:p>
    <w:p w14:paraId="750A7AE2" w14:textId="77777777" w:rsidR="00DA4398" w:rsidRPr="00D404D2" w:rsidRDefault="00DA4398">
      <w:pPr>
        <w:rPr>
          <w:rFonts w:asciiTheme="majorHAnsi" w:hAnsiTheme="majorHAnsi"/>
          <w:b/>
          <w:sz w:val="28"/>
          <w:szCs w:val="28"/>
        </w:rPr>
      </w:pPr>
    </w:p>
    <w:p w14:paraId="63FB2898" w14:textId="26957EEF" w:rsidR="00DA4398" w:rsidRPr="00D404D2" w:rsidRDefault="00C46978" w:rsidP="00C46978">
      <w:pPr>
        <w:rPr>
          <w:rFonts w:asciiTheme="majorHAnsi" w:hAnsiTheme="majorHAnsi"/>
        </w:rPr>
      </w:pPr>
      <w:r w:rsidRPr="00D404D2">
        <w:rPr>
          <w:rFonts w:asciiTheme="majorHAnsi" w:hAnsiTheme="majorHAnsi"/>
        </w:rPr>
        <w:t>(1)</w:t>
      </w:r>
      <w:r w:rsidR="00DA4398" w:rsidRPr="00D404D2">
        <w:rPr>
          <w:rFonts w:asciiTheme="majorHAnsi" w:hAnsiTheme="majorHAnsi"/>
        </w:rPr>
        <w:t xml:space="preserve">The first edition of our report stated erroneously </w:t>
      </w:r>
      <w:r w:rsidR="00086351">
        <w:rPr>
          <w:rFonts w:asciiTheme="majorHAnsi" w:hAnsiTheme="majorHAnsi"/>
        </w:rPr>
        <w:t>(</w:t>
      </w:r>
      <w:r w:rsidR="00DA4398" w:rsidRPr="00D404D2">
        <w:rPr>
          <w:rFonts w:asciiTheme="majorHAnsi" w:hAnsiTheme="majorHAnsi"/>
        </w:rPr>
        <w:t>on page 13 of the original report</w:t>
      </w:r>
      <w:r w:rsidR="00086351">
        <w:rPr>
          <w:rFonts w:asciiTheme="majorHAnsi" w:hAnsiTheme="majorHAnsi"/>
        </w:rPr>
        <w:t>)</w:t>
      </w:r>
      <w:r w:rsidR="00DA4398" w:rsidRPr="00D404D2">
        <w:rPr>
          <w:rFonts w:asciiTheme="majorHAnsi" w:hAnsiTheme="majorHAnsi"/>
        </w:rPr>
        <w:t xml:space="preserve"> that the full business case for relocating intensive care level 3 beds did not state whether haemodialysis would be provided at the Glenfield hospital when renal transplant is relocated to the Glenfield. The full business case does in fact state that it will be</w:t>
      </w:r>
      <w:r w:rsidR="008D3977" w:rsidRPr="00D404D2">
        <w:rPr>
          <w:rFonts w:asciiTheme="majorHAnsi" w:hAnsiTheme="majorHAnsi"/>
        </w:rPr>
        <w:t>. The report has been corrected</w:t>
      </w:r>
      <w:r w:rsidR="00DA4398" w:rsidRPr="00D404D2">
        <w:rPr>
          <w:rFonts w:asciiTheme="majorHAnsi" w:hAnsiTheme="majorHAnsi"/>
        </w:rPr>
        <w:t xml:space="preserve"> </w:t>
      </w:r>
      <w:r w:rsidR="008D3977" w:rsidRPr="00D404D2">
        <w:rPr>
          <w:rFonts w:asciiTheme="majorHAnsi" w:hAnsiTheme="majorHAnsi"/>
        </w:rPr>
        <w:t xml:space="preserve">(below) </w:t>
      </w:r>
      <w:r w:rsidR="00DA4398" w:rsidRPr="00D404D2">
        <w:rPr>
          <w:rFonts w:asciiTheme="majorHAnsi" w:hAnsiTheme="majorHAnsi"/>
        </w:rPr>
        <w:t>and we apologise unreservedly for this error.</w:t>
      </w:r>
    </w:p>
    <w:p w14:paraId="161B9F64" w14:textId="77777777" w:rsidR="002463CA" w:rsidRPr="00D404D2" w:rsidRDefault="002463CA" w:rsidP="002463CA">
      <w:pPr>
        <w:rPr>
          <w:rFonts w:asciiTheme="majorHAnsi" w:hAnsiTheme="majorHAnsi"/>
        </w:rPr>
      </w:pPr>
    </w:p>
    <w:p w14:paraId="796C2215" w14:textId="07773029" w:rsidR="002463CA" w:rsidRPr="00D404D2" w:rsidRDefault="00C46978" w:rsidP="00C46978">
      <w:pPr>
        <w:rPr>
          <w:rFonts w:asciiTheme="majorHAnsi" w:hAnsiTheme="majorHAnsi"/>
        </w:rPr>
      </w:pPr>
      <w:r w:rsidRPr="00D404D2">
        <w:rPr>
          <w:rFonts w:asciiTheme="majorHAnsi" w:hAnsiTheme="majorHAnsi"/>
        </w:rPr>
        <w:t>(</w:t>
      </w:r>
      <w:r w:rsidR="00086351">
        <w:rPr>
          <w:rFonts w:asciiTheme="majorHAnsi" w:hAnsiTheme="majorHAnsi"/>
        </w:rPr>
        <w:t>2</w:t>
      </w:r>
      <w:r w:rsidRPr="00D404D2">
        <w:rPr>
          <w:rFonts w:asciiTheme="majorHAnsi" w:hAnsiTheme="majorHAnsi"/>
        </w:rPr>
        <w:t>)</w:t>
      </w:r>
      <w:r w:rsidR="002463CA" w:rsidRPr="00D404D2">
        <w:rPr>
          <w:rFonts w:asciiTheme="majorHAnsi" w:hAnsiTheme="majorHAnsi"/>
        </w:rPr>
        <w:t>On p17 of</w:t>
      </w:r>
      <w:r w:rsidR="009C749F" w:rsidRPr="00D404D2">
        <w:rPr>
          <w:rFonts w:asciiTheme="majorHAnsi" w:hAnsiTheme="majorHAnsi"/>
        </w:rPr>
        <w:t xml:space="preserve"> our</w:t>
      </w:r>
      <w:r w:rsidR="002463CA" w:rsidRPr="00D404D2">
        <w:rPr>
          <w:rFonts w:asciiTheme="majorHAnsi" w:hAnsiTheme="majorHAnsi"/>
        </w:rPr>
        <w:t xml:space="preserve"> original report, we asked whether planning permission would need to be sought once more if building had not started by November 2018. The full business case states that UHL </w:t>
      </w:r>
      <w:r w:rsidR="003933EB" w:rsidRPr="00D404D2">
        <w:rPr>
          <w:rFonts w:asciiTheme="majorHAnsi" w:hAnsiTheme="majorHAnsi"/>
        </w:rPr>
        <w:t>intended to resubmit the planning application in August 2018 and did not envisage difficulties with this. We do not know the outcome of this planning application.</w:t>
      </w:r>
    </w:p>
    <w:p w14:paraId="50336CFE" w14:textId="77777777" w:rsidR="00086351" w:rsidRDefault="00086351" w:rsidP="00C46978">
      <w:pPr>
        <w:rPr>
          <w:rFonts w:asciiTheme="majorHAnsi" w:hAnsiTheme="majorHAnsi"/>
          <w:lang w:val="en-US"/>
        </w:rPr>
      </w:pPr>
    </w:p>
    <w:p w14:paraId="754AADE6" w14:textId="6AF0B4B0" w:rsidR="006A4266" w:rsidRPr="00D404D2" w:rsidRDefault="00C46978" w:rsidP="00C46978">
      <w:pPr>
        <w:rPr>
          <w:rFonts w:asciiTheme="majorHAnsi" w:hAnsiTheme="majorHAnsi"/>
        </w:rPr>
      </w:pPr>
      <w:r w:rsidRPr="00D404D2">
        <w:rPr>
          <w:rFonts w:asciiTheme="majorHAnsi" w:hAnsiTheme="majorHAnsi"/>
          <w:lang w:val="en-US"/>
        </w:rPr>
        <w:t>(</w:t>
      </w:r>
      <w:r w:rsidR="00086351">
        <w:rPr>
          <w:rFonts w:asciiTheme="majorHAnsi" w:hAnsiTheme="majorHAnsi"/>
          <w:lang w:val="en-US"/>
        </w:rPr>
        <w:t>3</w:t>
      </w:r>
      <w:r w:rsidRPr="00D404D2">
        <w:rPr>
          <w:rFonts w:asciiTheme="majorHAnsi" w:hAnsiTheme="majorHAnsi"/>
          <w:lang w:val="en-US"/>
        </w:rPr>
        <w:t>)</w:t>
      </w:r>
      <w:r w:rsidR="009C749F" w:rsidRPr="00D404D2">
        <w:rPr>
          <w:rFonts w:asciiTheme="majorHAnsi" w:hAnsiTheme="majorHAnsi"/>
          <w:lang w:val="en-US"/>
        </w:rPr>
        <w:t xml:space="preserve">On page 10 of our </w:t>
      </w:r>
      <w:r w:rsidR="0063375A" w:rsidRPr="00D404D2">
        <w:rPr>
          <w:rFonts w:asciiTheme="majorHAnsi" w:hAnsiTheme="majorHAnsi"/>
          <w:lang w:val="en-US"/>
        </w:rPr>
        <w:t xml:space="preserve">original </w:t>
      </w:r>
      <w:r w:rsidR="009C749F" w:rsidRPr="00D404D2">
        <w:rPr>
          <w:rFonts w:asciiTheme="majorHAnsi" w:hAnsiTheme="majorHAnsi"/>
          <w:lang w:val="en-US"/>
        </w:rPr>
        <w:t xml:space="preserve">report, we noted the limited nature of consultation to date. </w:t>
      </w:r>
      <w:r w:rsidR="00316483" w:rsidRPr="00D404D2">
        <w:rPr>
          <w:rFonts w:asciiTheme="majorHAnsi" w:hAnsiTheme="majorHAnsi"/>
          <w:lang w:val="en-US"/>
        </w:rPr>
        <w:t>We add</w:t>
      </w:r>
      <w:r w:rsidR="009C749F" w:rsidRPr="00D404D2">
        <w:rPr>
          <w:rFonts w:asciiTheme="majorHAnsi" w:hAnsiTheme="majorHAnsi"/>
          <w:lang w:val="en-US"/>
        </w:rPr>
        <w:t xml:space="preserve"> the full business case’s reference to engagement of </w:t>
      </w:r>
      <w:r w:rsidR="00A4005A" w:rsidRPr="00D404D2">
        <w:rPr>
          <w:rFonts w:asciiTheme="majorHAnsi" w:hAnsiTheme="majorHAnsi"/>
          <w:lang w:val="en-US"/>
        </w:rPr>
        <w:t>patients</w:t>
      </w:r>
      <w:r w:rsidR="009C749F" w:rsidRPr="00D404D2">
        <w:rPr>
          <w:rFonts w:asciiTheme="majorHAnsi" w:hAnsiTheme="majorHAnsi"/>
          <w:lang w:val="en-US"/>
        </w:rPr>
        <w:t xml:space="preserve"> </w:t>
      </w:r>
      <w:r w:rsidR="00A4005A" w:rsidRPr="00D404D2">
        <w:rPr>
          <w:rFonts w:asciiTheme="majorHAnsi" w:hAnsiTheme="majorHAnsi"/>
          <w:lang w:val="en-US"/>
        </w:rPr>
        <w:t>and patient partner representatives</w:t>
      </w:r>
      <w:r w:rsidR="00521F78" w:rsidRPr="00D404D2">
        <w:rPr>
          <w:rFonts w:asciiTheme="majorHAnsi" w:hAnsiTheme="majorHAnsi"/>
          <w:lang w:val="en-US"/>
        </w:rPr>
        <w:t xml:space="preserve"> in the design process</w:t>
      </w:r>
      <w:r w:rsidR="00316483" w:rsidRPr="00D404D2">
        <w:rPr>
          <w:rFonts w:asciiTheme="majorHAnsi" w:hAnsiTheme="majorHAnsi"/>
          <w:lang w:val="en-US"/>
        </w:rPr>
        <w:t>. The</w:t>
      </w:r>
      <w:r w:rsidR="00E408B2" w:rsidRPr="00D404D2">
        <w:rPr>
          <w:rFonts w:asciiTheme="majorHAnsi" w:hAnsiTheme="majorHAnsi"/>
          <w:lang w:val="en-US"/>
        </w:rPr>
        <w:t>se make no reference to the engagement of patients in</w:t>
      </w:r>
      <w:r w:rsidR="00316483" w:rsidRPr="00D404D2">
        <w:rPr>
          <w:rFonts w:asciiTheme="majorHAnsi" w:hAnsiTheme="majorHAnsi"/>
          <w:lang w:val="en-US"/>
        </w:rPr>
        <w:t xml:space="preserve"> the wider implications of the removal of ICU</w:t>
      </w:r>
      <w:r w:rsidR="00E408B2" w:rsidRPr="00D404D2">
        <w:rPr>
          <w:rFonts w:asciiTheme="majorHAnsi" w:hAnsiTheme="majorHAnsi"/>
          <w:lang w:val="en-US"/>
        </w:rPr>
        <w:t xml:space="preserve"> from Leicester General Hospital</w:t>
      </w:r>
      <w:r w:rsidR="00316483" w:rsidRPr="00D404D2">
        <w:rPr>
          <w:rFonts w:asciiTheme="majorHAnsi" w:hAnsiTheme="majorHAnsi"/>
          <w:lang w:val="en-US"/>
        </w:rPr>
        <w:t>.</w:t>
      </w:r>
    </w:p>
    <w:p w14:paraId="26D28310" w14:textId="77777777" w:rsidR="006A4266" w:rsidRPr="00D404D2" w:rsidRDefault="006A4266" w:rsidP="00C46978">
      <w:pPr>
        <w:rPr>
          <w:rFonts w:asciiTheme="majorHAnsi" w:hAnsiTheme="majorHAnsi"/>
          <w:lang w:val="en-US"/>
        </w:rPr>
      </w:pPr>
    </w:p>
    <w:p w14:paraId="52D1BB35" w14:textId="1458D015" w:rsidR="006A4266" w:rsidRPr="00D404D2" w:rsidRDefault="006A4266" w:rsidP="006A4266">
      <w:pPr>
        <w:ind w:left="397"/>
        <w:rPr>
          <w:rFonts w:asciiTheme="majorHAnsi" w:hAnsiTheme="majorHAnsi"/>
          <w:lang w:val="en-US"/>
        </w:rPr>
      </w:pPr>
      <w:r w:rsidRPr="00D404D2">
        <w:rPr>
          <w:rFonts w:asciiTheme="majorHAnsi" w:hAnsiTheme="majorHAnsi"/>
          <w:lang w:val="en-US"/>
        </w:rPr>
        <w:t>“Patients currently staying on HPB and Transplant wards at the LGH have been engaged with regards to the proposed designs at 1:200 levels. Constructive comments have been made which will inform the next stage of the design process, particularly in relation to day / dining spaces within bays, accessing bathroom facilities from the bay and the most suitable configuration of the four beds within a bay.”</w:t>
      </w:r>
      <w:r w:rsidR="00A4005A" w:rsidRPr="00D404D2">
        <w:rPr>
          <w:rFonts w:asciiTheme="majorHAnsi" w:hAnsiTheme="majorHAnsi"/>
          <w:lang w:val="en-US"/>
        </w:rPr>
        <w:t xml:space="preserve"> (p40)</w:t>
      </w:r>
    </w:p>
    <w:p w14:paraId="5307B8F8" w14:textId="77777777" w:rsidR="006A4266" w:rsidRPr="00D404D2" w:rsidRDefault="006A4266" w:rsidP="00C46978">
      <w:pPr>
        <w:rPr>
          <w:rFonts w:asciiTheme="majorHAnsi" w:hAnsiTheme="majorHAnsi"/>
          <w:lang w:val="en-US"/>
        </w:rPr>
      </w:pPr>
    </w:p>
    <w:p w14:paraId="25BEAD36" w14:textId="7147172C" w:rsidR="009C749F" w:rsidRPr="00D404D2" w:rsidRDefault="009C749F" w:rsidP="00316483">
      <w:pPr>
        <w:pStyle w:val="Default"/>
        <w:ind w:left="397"/>
        <w:rPr>
          <w:rFonts w:asciiTheme="majorHAnsi" w:hAnsiTheme="majorHAnsi"/>
          <w:color w:val="auto"/>
        </w:rPr>
      </w:pPr>
      <w:r w:rsidRPr="00D404D2">
        <w:rPr>
          <w:rFonts w:asciiTheme="majorHAnsi" w:hAnsiTheme="majorHAnsi"/>
          <w:color w:val="auto"/>
        </w:rPr>
        <w:t xml:space="preserve">“Patient Partner representatives </w:t>
      </w:r>
    </w:p>
    <w:p w14:paraId="1F07C8F6" w14:textId="77777777" w:rsidR="009C749F" w:rsidRPr="00D404D2" w:rsidRDefault="009C749F" w:rsidP="00316483">
      <w:pPr>
        <w:pStyle w:val="Default"/>
        <w:ind w:left="397"/>
        <w:rPr>
          <w:rFonts w:asciiTheme="majorHAnsi" w:hAnsiTheme="majorHAnsi"/>
          <w:color w:val="auto"/>
        </w:rPr>
      </w:pPr>
      <w:r w:rsidRPr="00D404D2">
        <w:rPr>
          <w:rFonts w:asciiTheme="majorHAnsi" w:hAnsiTheme="majorHAnsi"/>
          <w:color w:val="auto"/>
        </w:rPr>
        <w:t xml:space="preserve">Throughout the detailed design process patient representation has been a key component of the output. The 1:200 design incorporated patient comments in relation to certain aspects of the design. These were taken on board and the design adapted. At the detailed design further comments were made and again included, as the clinical team felt they were valid: </w:t>
      </w:r>
    </w:p>
    <w:p w14:paraId="08B53EC4" w14:textId="77777777" w:rsidR="009C749F" w:rsidRPr="00D404D2" w:rsidRDefault="009C749F" w:rsidP="00316483">
      <w:pPr>
        <w:pStyle w:val="Default"/>
        <w:ind w:left="397"/>
        <w:rPr>
          <w:rFonts w:asciiTheme="majorHAnsi" w:hAnsiTheme="majorHAnsi"/>
          <w:color w:val="auto"/>
        </w:rPr>
      </w:pPr>
      <w:r w:rsidRPr="00D404D2">
        <w:rPr>
          <w:rFonts w:asciiTheme="majorHAnsi" w:hAnsiTheme="majorHAnsi"/>
          <w:color w:val="auto"/>
        </w:rPr>
        <w:t xml:space="preserve">• Ability to access information easily within the ward area e.g. menu racks at each bedside, clear forms of communication media/signage </w:t>
      </w:r>
    </w:p>
    <w:p w14:paraId="2C359DED" w14:textId="77777777" w:rsidR="009C749F" w:rsidRPr="00D404D2" w:rsidRDefault="009C749F" w:rsidP="00316483">
      <w:pPr>
        <w:pStyle w:val="Default"/>
        <w:ind w:left="397"/>
        <w:rPr>
          <w:rFonts w:asciiTheme="majorHAnsi" w:hAnsiTheme="majorHAnsi"/>
          <w:color w:val="auto"/>
        </w:rPr>
      </w:pPr>
      <w:r w:rsidRPr="00D404D2">
        <w:rPr>
          <w:rFonts w:asciiTheme="majorHAnsi" w:hAnsiTheme="majorHAnsi"/>
          <w:color w:val="auto"/>
        </w:rPr>
        <w:lastRenderedPageBreak/>
        <w:t xml:space="preserve">• Entertainment/Information points in waiting areas – TV’s, Digital information displays will be provided </w:t>
      </w:r>
    </w:p>
    <w:p w14:paraId="1FF853D5" w14:textId="6B7D2D0D" w:rsidR="009C749F" w:rsidRPr="00D404D2" w:rsidRDefault="009C749F" w:rsidP="00316483">
      <w:pPr>
        <w:pStyle w:val="Default"/>
        <w:ind w:left="397"/>
        <w:rPr>
          <w:rFonts w:asciiTheme="majorHAnsi" w:hAnsiTheme="majorHAnsi"/>
          <w:color w:val="auto"/>
        </w:rPr>
      </w:pPr>
      <w:r w:rsidRPr="00D404D2">
        <w:rPr>
          <w:rFonts w:asciiTheme="majorHAnsi" w:hAnsiTheme="majorHAnsi"/>
          <w:color w:val="auto"/>
        </w:rPr>
        <w:t>• Clear signage both within the wider site and within the ward areas must be clear and relevant – a signage programme will be undertaken as a package across the Programme adhering to both NHS and existing Glenfield Hospital guidelines</w:t>
      </w:r>
      <w:r w:rsidR="00A4005A" w:rsidRPr="00D404D2">
        <w:rPr>
          <w:rFonts w:asciiTheme="majorHAnsi" w:hAnsiTheme="majorHAnsi"/>
          <w:color w:val="auto"/>
        </w:rPr>
        <w:t>.</w:t>
      </w:r>
      <w:r w:rsidRPr="00D404D2">
        <w:rPr>
          <w:rFonts w:asciiTheme="majorHAnsi" w:hAnsiTheme="majorHAnsi"/>
          <w:color w:val="auto"/>
        </w:rPr>
        <w:t>”</w:t>
      </w:r>
      <w:r w:rsidR="00A4005A" w:rsidRPr="00D404D2">
        <w:rPr>
          <w:rFonts w:asciiTheme="majorHAnsi" w:hAnsiTheme="majorHAnsi"/>
          <w:color w:val="auto"/>
        </w:rPr>
        <w:t xml:space="preserve"> (p134)</w:t>
      </w:r>
      <w:r w:rsidRPr="00D404D2">
        <w:rPr>
          <w:rFonts w:asciiTheme="majorHAnsi" w:hAnsiTheme="majorHAnsi"/>
          <w:color w:val="auto"/>
        </w:rPr>
        <w:t xml:space="preserve"> </w:t>
      </w:r>
    </w:p>
    <w:p w14:paraId="430A6AE4" w14:textId="77777777" w:rsidR="009C749F" w:rsidRPr="00D404D2" w:rsidRDefault="009C749F" w:rsidP="009C749F">
      <w:pPr>
        <w:pStyle w:val="ListParagraph"/>
        <w:ind w:left="360"/>
        <w:rPr>
          <w:rFonts w:asciiTheme="majorHAnsi" w:hAnsiTheme="majorHAnsi"/>
        </w:rPr>
      </w:pPr>
    </w:p>
    <w:p w14:paraId="285ACF8A" w14:textId="5FE921C4" w:rsidR="00DC21C2" w:rsidRPr="00D404D2" w:rsidRDefault="00DC21C2" w:rsidP="009773F8">
      <w:pPr>
        <w:pStyle w:val="ListParagraph"/>
        <w:ind w:left="0"/>
        <w:rPr>
          <w:rFonts w:asciiTheme="majorHAnsi" w:hAnsiTheme="majorHAnsi"/>
          <w:lang w:val="en-US"/>
        </w:rPr>
      </w:pPr>
      <w:r w:rsidRPr="00D404D2">
        <w:rPr>
          <w:rFonts w:asciiTheme="majorHAnsi" w:hAnsiTheme="majorHAnsi"/>
          <w:lang w:val="en-US"/>
        </w:rPr>
        <w:t>(</w:t>
      </w:r>
      <w:r w:rsidR="00086351">
        <w:rPr>
          <w:rFonts w:asciiTheme="majorHAnsi" w:hAnsiTheme="majorHAnsi"/>
          <w:lang w:val="en-US"/>
        </w:rPr>
        <w:t>4</w:t>
      </w:r>
      <w:r w:rsidRPr="00D404D2">
        <w:rPr>
          <w:rFonts w:asciiTheme="majorHAnsi" w:hAnsiTheme="majorHAnsi"/>
          <w:lang w:val="en-US"/>
        </w:rPr>
        <w:t xml:space="preserve">)With regard to the splitting of services, NHS England’s Service Specifications for adult kidney transplant services </w:t>
      </w:r>
      <w:r w:rsidR="00A4005A" w:rsidRPr="00D404D2">
        <w:rPr>
          <w:rFonts w:asciiTheme="majorHAnsi" w:hAnsiTheme="majorHAnsi"/>
          <w:lang w:val="en-US"/>
        </w:rPr>
        <w:t>indicate the importance of co-located services</w:t>
      </w:r>
      <w:r w:rsidR="00086351">
        <w:rPr>
          <w:rFonts w:asciiTheme="majorHAnsi" w:hAnsiTheme="majorHAnsi"/>
          <w:lang w:val="en-US"/>
        </w:rPr>
        <w:t xml:space="preserve"> and this has been added to the report</w:t>
      </w:r>
      <w:r w:rsidR="00A4005A" w:rsidRPr="00D404D2">
        <w:rPr>
          <w:rFonts w:asciiTheme="majorHAnsi" w:hAnsiTheme="majorHAnsi"/>
          <w:lang w:val="en-US"/>
        </w:rPr>
        <w:t>:</w:t>
      </w:r>
    </w:p>
    <w:p w14:paraId="0302DFA3" w14:textId="77777777" w:rsidR="00DC21C2" w:rsidRPr="00D404D2" w:rsidRDefault="00DC21C2" w:rsidP="009773F8">
      <w:pPr>
        <w:pStyle w:val="ListParagraph"/>
        <w:ind w:left="0"/>
        <w:rPr>
          <w:rFonts w:asciiTheme="majorHAnsi" w:hAnsiTheme="majorHAnsi"/>
          <w:lang w:val="en-US"/>
        </w:rPr>
      </w:pPr>
    </w:p>
    <w:p w14:paraId="7C616928" w14:textId="7C111BC0" w:rsidR="00DC21C2" w:rsidRPr="00D404D2" w:rsidRDefault="00DC21C2" w:rsidP="00316483">
      <w:pPr>
        <w:autoSpaceDE w:val="0"/>
        <w:autoSpaceDN w:val="0"/>
        <w:adjustRightInd w:val="0"/>
        <w:ind w:left="397"/>
        <w:rPr>
          <w:rFonts w:asciiTheme="majorHAnsi" w:hAnsiTheme="majorHAnsi" w:cs="Helvetica-Bold"/>
          <w:b/>
          <w:bCs/>
        </w:rPr>
      </w:pPr>
      <w:r w:rsidRPr="00D404D2">
        <w:rPr>
          <w:rFonts w:asciiTheme="majorHAnsi" w:hAnsiTheme="majorHAnsi" w:cs="Helvetica-Bold"/>
          <w:bCs/>
        </w:rPr>
        <w:t>“</w:t>
      </w:r>
      <w:r w:rsidRPr="00D404D2">
        <w:rPr>
          <w:rFonts w:asciiTheme="majorHAnsi" w:hAnsiTheme="majorHAnsi" w:cs="Helvetica-Bold"/>
          <w:b/>
          <w:bCs/>
        </w:rPr>
        <w:t>3.5 Interdependencies with other services/providers</w:t>
      </w:r>
    </w:p>
    <w:p w14:paraId="39267918" w14:textId="32821644" w:rsidR="00DC21C2" w:rsidRPr="00D404D2" w:rsidRDefault="00E408B2" w:rsidP="00316483">
      <w:pPr>
        <w:autoSpaceDE w:val="0"/>
        <w:autoSpaceDN w:val="0"/>
        <w:adjustRightInd w:val="0"/>
        <w:ind w:left="397"/>
        <w:rPr>
          <w:rFonts w:asciiTheme="majorHAnsi" w:hAnsiTheme="majorHAnsi" w:cs="Helvetica"/>
        </w:rPr>
      </w:pPr>
      <w:r w:rsidRPr="00D404D2">
        <w:rPr>
          <w:rFonts w:asciiTheme="majorHAnsi" w:hAnsiTheme="majorHAnsi" w:cs="Helvetica"/>
        </w:rPr>
        <w:t>..</w:t>
      </w:r>
      <w:r w:rsidR="00DC21C2" w:rsidRPr="00D404D2">
        <w:rPr>
          <w:rFonts w:asciiTheme="majorHAnsi" w:hAnsiTheme="majorHAnsi" w:cs="Helvetica"/>
        </w:rPr>
        <w:t>. Optimum delivery of the agreed pathways requires effective working relationships with the following services and organisations, but not limited to:</w:t>
      </w:r>
    </w:p>
    <w:p w14:paraId="1400690F" w14:textId="77777777" w:rsidR="00DC21C2" w:rsidRPr="00D404D2" w:rsidRDefault="00DC21C2" w:rsidP="00316483">
      <w:pPr>
        <w:autoSpaceDE w:val="0"/>
        <w:autoSpaceDN w:val="0"/>
        <w:adjustRightInd w:val="0"/>
        <w:ind w:left="397"/>
        <w:rPr>
          <w:rFonts w:asciiTheme="majorHAnsi" w:hAnsiTheme="majorHAnsi" w:cs="Helvetica"/>
        </w:rPr>
      </w:pPr>
      <w:r w:rsidRPr="00D404D2">
        <w:rPr>
          <w:rFonts w:asciiTheme="majorHAnsi" w:hAnsiTheme="majorHAnsi" w:cs="Helvetica"/>
        </w:rPr>
        <w:t>Co-located services (need to be provided on the same site)</w:t>
      </w:r>
    </w:p>
    <w:p w14:paraId="6ECB2808" w14:textId="77777777" w:rsidR="00DC21C2" w:rsidRPr="00D404D2" w:rsidRDefault="00DC21C2" w:rsidP="00316483">
      <w:pPr>
        <w:autoSpaceDE w:val="0"/>
        <w:autoSpaceDN w:val="0"/>
        <w:adjustRightInd w:val="0"/>
        <w:ind w:left="397"/>
        <w:rPr>
          <w:rFonts w:asciiTheme="majorHAnsi" w:hAnsiTheme="majorHAnsi" w:cs="Helvetica"/>
        </w:rPr>
      </w:pPr>
      <w:r w:rsidRPr="00D404D2">
        <w:rPr>
          <w:rFonts w:asciiTheme="majorHAnsi" w:hAnsiTheme="majorHAnsi" w:cs="Symbol"/>
        </w:rPr>
        <w:t xml:space="preserve">• </w:t>
      </w:r>
      <w:r w:rsidRPr="00D404D2">
        <w:rPr>
          <w:rFonts w:asciiTheme="majorHAnsi" w:hAnsiTheme="majorHAnsi" w:cs="Helvetica"/>
        </w:rPr>
        <w:t>Nephrology</w:t>
      </w:r>
    </w:p>
    <w:p w14:paraId="02CBB4F8" w14:textId="77777777" w:rsidR="00DC21C2" w:rsidRPr="00D404D2" w:rsidRDefault="00DC21C2" w:rsidP="00316483">
      <w:pPr>
        <w:autoSpaceDE w:val="0"/>
        <w:autoSpaceDN w:val="0"/>
        <w:adjustRightInd w:val="0"/>
        <w:ind w:left="397"/>
        <w:rPr>
          <w:rFonts w:asciiTheme="majorHAnsi" w:hAnsiTheme="majorHAnsi" w:cs="Helvetica"/>
        </w:rPr>
      </w:pPr>
      <w:r w:rsidRPr="00D404D2">
        <w:rPr>
          <w:rFonts w:asciiTheme="majorHAnsi" w:hAnsiTheme="majorHAnsi" w:cs="Symbol"/>
        </w:rPr>
        <w:t xml:space="preserve">• </w:t>
      </w:r>
      <w:r w:rsidRPr="00D404D2">
        <w:rPr>
          <w:rFonts w:asciiTheme="majorHAnsi" w:hAnsiTheme="majorHAnsi" w:cs="Helvetica"/>
        </w:rPr>
        <w:t>Intensive care</w:t>
      </w:r>
    </w:p>
    <w:p w14:paraId="5BEA3D86" w14:textId="77777777" w:rsidR="00DC21C2" w:rsidRPr="00D404D2" w:rsidRDefault="00DC21C2" w:rsidP="00316483">
      <w:pPr>
        <w:autoSpaceDE w:val="0"/>
        <w:autoSpaceDN w:val="0"/>
        <w:adjustRightInd w:val="0"/>
        <w:ind w:left="397"/>
        <w:rPr>
          <w:rFonts w:asciiTheme="majorHAnsi" w:hAnsiTheme="majorHAnsi" w:cs="Helvetica"/>
        </w:rPr>
      </w:pPr>
      <w:r w:rsidRPr="00D404D2">
        <w:rPr>
          <w:rFonts w:asciiTheme="majorHAnsi" w:hAnsiTheme="majorHAnsi" w:cs="Symbol"/>
        </w:rPr>
        <w:t xml:space="preserve">• </w:t>
      </w:r>
      <w:r w:rsidRPr="00D404D2">
        <w:rPr>
          <w:rFonts w:asciiTheme="majorHAnsi" w:hAnsiTheme="majorHAnsi" w:cs="Helvetica"/>
        </w:rPr>
        <w:t>Theatre and anaesthetic departments</w:t>
      </w:r>
    </w:p>
    <w:p w14:paraId="444716B2" w14:textId="77777777" w:rsidR="00DC21C2" w:rsidRPr="00D404D2" w:rsidRDefault="00DC21C2" w:rsidP="00316483">
      <w:pPr>
        <w:autoSpaceDE w:val="0"/>
        <w:autoSpaceDN w:val="0"/>
        <w:adjustRightInd w:val="0"/>
        <w:ind w:left="397"/>
        <w:rPr>
          <w:rFonts w:asciiTheme="majorHAnsi" w:hAnsiTheme="majorHAnsi" w:cs="Helvetica"/>
        </w:rPr>
      </w:pPr>
      <w:r w:rsidRPr="00D404D2">
        <w:rPr>
          <w:rFonts w:asciiTheme="majorHAnsi" w:hAnsiTheme="majorHAnsi" w:cs="Symbol"/>
        </w:rPr>
        <w:t xml:space="preserve">• </w:t>
      </w:r>
      <w:r w:rsidRPr="00D404D2">
        <w:rPr>
          <w:rFonts w:asciiTheme="majorHAnsi" w:hAnsiTheme="majorHAnsi" w:cs="Helvetica"/>
        </w:rPr>
        <w:t>Radiology (including interventional radiology)</w:t>
      </w:r>
    </w:p>
    <w:p w14:paraId="763E9369" w14:textId="77777777" w:rsidR="00DC21C2" w:rsidRPr="00D404D2" w:rsidRDefault="00DC21C2" w:rsidP="00316483">
      <w:pPr>
        <w:autoSpaceDE w:val="0"/>
        <w:autoSpaceDN w:val="0"/>
        <w:adjustRightInd w:val="0"/>
        <w:ind w:left="397"/>
        <w:rPr>
          <w:rFonts w:asciiTheme="majorHAnsi" w:hAnsiTheme="majorHAnsi" w:cs="Helvetica"/>
        </w:rPr>
      </w:pPr>
      <w:r w:rsidRPr="00D404D2">
        <w:rPr>
          <w:rFonts w:asciiTheme="majorHAnsi" w:hAnsiTheme="majorHAnsi" w:cs="Symbol"/>
        </w:rPr>
        <w:t xml:space="preserve">• </w:t>
      </w:r>
      <w:r w:rsidRPr="00D404D2">
        <w:rPr>
          <w:rFonts w:asciiTheme="majorHAnsi" w:hAnsiTheme="majorHAnsi" w:cs="Helvetica"/>
        </w:rPr>
        <w:t>Pharmacy</w:t>
      </w:r>
    </w:p>
    <w:p w14:paraId="59AA20CC" w14:textId="77777777" w:rsidR="00DC21C2" w:rsidRPr="00D404D2" w:rsidRDefault="00DC21C2" w:rsidP="00316483">
      <w:pPr>
        <w:autoSpaceDE w:val="0"/>
        <w:autoSpaceDN w:val="0"/>
        <w:adjustRightInd w:val="0"/>
        <w:ind w:left="397"/>
        <w:rPr>
          <w:rFonts w:asciiTheme="majorHAnsi" w:hAnsiTheme="majorHAnsi" w:cs="Helvetica"/>
        </w:rPr>
      </w:pPr>
      <w:r w:rsidRPr="00D404D2">
        <w:rPr>
          <w:rFonts w:asciiTheme="majorHAnsi" w:hAnsiTheme="majorHAnsi" w:cs="Symbol"/>
        </w:rPr>
        <w:t xml:space="preserve">• </w:t>
      </w:r>
      <w:r w:rsidRPr="00D404D2">
        <w:rPr>
          <w:rFonts w:asciiTheme="majorHAnsi" w:hAnsiTheme="majorHAnsi" w:cs="Helvetica"/>
        </w:rPr>
        <w:t>Dietetics</w:t>
      </w:r>
    </w:p>
    <w:p w14:paraId="49E3D7F0" w14:textId="50AB5114" w:rsidR="00DC21C2" w:rsidRPr="00D404D2" w:rsidRDefault="00DC21C2" w:rsidP="00316483">
      <w:pPr>
        <w:pStyle w:val="ListParagraph"/>
        <w:ind w:left="397"/>
        <w:rPr>
          <w:rFonts w:asciiTheme="majorHAnsi" w:hAnsiTheme="majorHAnsi" w:cs="Helvetica"/>
        </w:rPr>
      </w:pPr>
      <w:r w:rsidRPr="00D404D2">
        <w:rPr>
          <w:rFonts w:asciiTheme="majorHAnsi" w:hAnsiTheme="majorHAnsi" w:cs="Symbol"/>
        </w:rPr>
        <w:t xml:space="preserve">• </w:t>
      </w:r>
      <w:r w:rsidRPr="00D404D2">
        <w:rPr>
          <w:rFonts w:asciiTheme="majorHAnsi" w:hAnsiTheme="majorHAnsi" w:cs="Helvetica"/>
        </w:rPr>
        <w:t>Allied Health Professionals (including physiotherapy”</w:t>
      </w:r>
    </w:p>
    <w:p w14:paraId="575251F1" w14:textId="4FA1AF1C" w:rsidR="00DC21C2" w:rsidRPr="00D404D2" w:rsidRDefault="00DC21C2" w:rsidP="00316483">
      <w:pPr>
        <w:pStyle w:val="ListParagraph"/>
        <w:ind w:left="397"/>
        <w:rPr>
          <w:rFonts w:asciiTheme="majorHAnsi" w:hAnsiTheme="majorHAnsi"/>
          <w:lang w:val="en-US"/>
        </w:rPr>
      </w:pPr>
      <w:r w:rsidRPr="00D404D2">
        <w:rPr>
          <w:rFonts w:asciiTheme="majorHAnsi" w:hAnsiTheme="majorHAnsi" w:cs="Helvetica"/>
        </w:rPr>
        <w:t>(NHS England:  Schedule 2: The Services. A: Specifications – Adult Kidney Transplant Service 16079/S)</w:t>
      </w:r>
    </w:p>
    <w:p w14:paraId="3ED8B9B3" w14:textId="77777777" w:rsidR="00DC21C2" w:rsidRDefault="00DC21C2" w:rsidP="009773F8">
      <w:pPr>
        <w:pStyle w:val="ListParagraph"/>
        <w:ind w:left="0"/>
        <w:rPr>
          <w:rFonts w:asciiTheme="majorHAnsi" w:hAnsiTheme="majorHAnsi"/>
          <w:lang w:val="en-US"/>
        </w:rPr>
      </w:pPr>
    </w:p>
    <w:p w14:paraId="7CF3ADB7" w14:textId="49B5E4FC" w:rsidR="00086351" w:rsidRPr="00D404D2" w:rsidRDefault="00086351" w:rsidP="009773F8">
      <w:pPr>
        <w:pStyle w:val="ListParagraph"/>
        <w:ind w:left="0"/>
        <w:rPr>
          <w:rFonts w:asciiTheme="majorHAnsi" w:hAnsiTheme="majorHAnsi"/>
          <w:lang w:val="en-US"/>
        </w:rPr>
      </w:pPr>
      <w:r>
        <w:rPr>
          <w:rFonts w:asciiTheme="majorHAnsi" w:hAnsiTheme="majorHAnsi"/>
          <w:lang w:val="en-US"/>
        </w:rPr>
        <w:t>(5) We have removed the reference to staff wages.</w:t>
      </w:r>
    </w:p>
    <w:p w14:paraId="69AD03FA" w14:textId="77777777" w:rsidR="0063375A" w:rsidRPr="00D404D2" w:rsidRDefault="0063375A" w:rsidP="0063375A">
      <w:pPr>
        <w:jc w:val="both"/>
        <w:rPr>
          <w:rFonts w:asciiTheme="majorHAnsi" w:hAnsiTheme="majorHAnsi"/>
          <w:b/>
        </w:rPr>
      </w:pPr>
    </w:p>
    <w:p w14:paraId="2D7E8123" w14:textId="77777777" w:rsidR="0063375A" w:rsidRPr="00D404D2" w:rsidRDefault="0063375A" w:rsidP="0063375A">
      <w:pPr>
        <w:jc w:val="both"/>
        <w:rPr>
          <w:rFonts w:asciiTheme="majorHAnsi" w:hAnsiTheme="majorHAnsi"/>
          <w:b/>
        </w:rPr>
      </w:pPr>
    </w:p>
    <w:p w14:paraId="692CE418" w14:textId="77777777" w:rsidR="0063375A" w:rsidRPr="00D404D2" w:rsidRDefault="0063375A" w:rsidP="0063375A">
      <w:pPr>
        <w:jc w:val="both"/>
        <w:rPr>
          <w:rFonts w:asciiTheme="majorHAnsi" w:hAnsiTheme="majorHAnsi"/>
          <w:b/>
        </w:rPr>
      </w:pPr>
    </w:p>
    <w:p w14:paraId="7A375863" w14:textId="77777777" w:rsidR="0063375A" w:rsidRPr="00D404D2" w:rsidRDefault="0063375A" w:rsidP="0063375A">
      <w:pPr>
        <w:jc w:val="both"/>
        <w:rPr>
          <w:rFonts w:asciiTheme="majorHAnsi" w:hAnsiTheme="majorHAnsi"/>
          <w:b/>
        </w:rPr>
      </w:pPr>
    </w:p>
    <w:p w14:paraId="52E05038" w14:textId="3846CED8" w:rsidR="00DA4398" w:rsidRPr="005D67B4" w:rsidRDefault="0063375A" w:rsidP="0063375A">
      <w:pPr>
        <w:jc w:val="both"/>
        <w:rPr>
          <w:rFonts w:asciiTheme="majorHAnsi" w:hAnsiTheme="majorHAnsi"/>
          <w:b/>
        </w:rPr>
      </w:pPr>
      <w:r w:rsidRPr="00D404D2">
        <w:rPr>
          <w:rFonts w:asciiTheme="majorHAnsi" w:hAnsiTheme="majorHAnsi"/>
          <w:b/>
        </w:rPr>
        <w:t>September 2018</w:t>
      </w:r>
      <w:r w:rsidR="00DA4398" w:rsidRPr="005D67B4">
        <w:rPr>
          <w:rFonts w:asciiTheme="majorHAnsi" w:hAnsiTheme="majorHAnsi"/>
          <w:b/>
        </w:rPr>
        <w:br w:type="page"/>
      </w:r>
    </w:p>
    <w:p w14:paraId="7D938FC9" w14:textId="5D6D81AF" w:rsidR="00A177AD" w:rsidRDefault="00A177AD">
      <w:pPr>
        <w:rPr>
          <w:b/>
          <w:sz w:val="22"/>
          <w:szCs w:val="22"/>
        </w:rPr>
      </w:pPr>
    </w:p>
    <w:p w14:paraId="39F52BDB" w14:textId="626982FF" w:rsidR="00225E55" w:rsidRPr="00A177AD" w:rsidRDefault="0000265C" w:rsidP="00A177AD">
      <w:pPr>
        <w:jc w:val="center"/>
        <w:rPr>
          <w:b/>
          <w:sz w:val="28"/>
          <w:szCs w:val="28"/>
        </w:rPr>
      </w:pPr>
      <w:r w:rsidRPr="00A177AD">
        <w:rPr>
          <w:b/>
          <w:sz w:val="28"/>
          <w:szCs w:val="28"/>
        </w:rPr>
        <w:t>R</w:t>
      </w:r>
      <w:r w:rsidR="00225E55" w:rsidRPr="00A177AD">
        <w:rPr>
          <w:b/>
          <w:sz w:val="28"/>
          <w:szCs w:val="28"/>
        </w:rPr>
        <w:t>e</w:t>
      </w:r>
      <w:r w:rsidR="00E21401" w:rsidRPr="00A177AD">
        <w:rPr>
          <w:b/>
          <w:sz w:val="28"/>
          <w:szCs w:val="28"/>
        </w:rPr>
        <w:t xml:space="preserve">port on </w:t>
      </w:r>
      <w:r w:rsidRPr="00A177AD">
        <w:rPr>
          <w:b/>
          <w:sz w:val="28"/>
          <w:szCs w:val="28"/>
        </w:rPr>
        <w:t>University Hospitals of Leicester</w:t>
      </w:r>
      <w:r w:rsidR="00A177AD">
        <w:rPr>
          <w:b/>
          <w:sz w:val="28"/>
          <w:szCs w:val="28"/>
        </w:rPr>
        <w:t xml:space="preserve"> NHS Trust</w:t>
      </w:r>
      <w:r w:rsidRPr="00A177AD">
        <w:rPr>
          <w:b/>
          <w:sz w:val="28"/>
          <w:szCs w:val="28"/>
        </w:rPr>
        <w:t xml:space="preserve"> Full Business Case for relocating Intensive Care Unit </w:t>
      </w:r>
      <w:r w:rsidR="007E2B9E" w:rsidRPr="00A177AD">
        <w:rPr>
          <w:b/>
          <w:sz w:val="28"/>
          <w:szCs w:val="28"/>
        </w:rPr>
        <w:t>Level</w:t>
      </w:r>
      <w:r w:rsidRPr="00A177AD">
        <w:rPr>
          <w:b/>
          <w:sz w:val="28"/>
          <w:szCs w:val="28"/>
        </w:rPr>
        <w:t xml:space="preserve"> </w:t>
      </w:r>
      <w:r w:rsidR="00322AAD" w:rsidRPr="00A177AD">
        <w:rPr>
          <w:b/>
          <w:sz w:val="28"/>
          <w:szCs w:val="28"/>
        </w:rPr>
        <w:t>3</w:t>
      </w:r>
      <w:r w:rsidRPr="00A177AD">
        <w:rPr>
          <w:b/>
          <w:sz w:val="28"/>
          <w:szCs w:val="28"/>
        </w:rPr>
        <w:t xml:space="preserve"> beds </w:t>
      </w:r>
      <w:r w:rsidR="007E2B9E" w:rsidRPr="00A177AD">
        <w:rPr>
          <w:b/>
          <w:sz w:val="28"/>
          <w:szCs w:val="28"/>
        </w:rPr>
        <w:t>out of</w:t>
      </w:r>
      <w:r w:rsidR="00E21401" w:rsidRPr="00A177AD">
        <w:rPr>
          <w:b/>
          <w:sz w:val="28"/>
          <w:szCs w:val="28"/>
        </w:rPr>
        <w:t xml:space="preserve"> Leicester General Hospital</w:t>
      </w:r>
    </w:p>
    <w:p w14:paraId="6CFB31C4" w14:textId="77777777" w:rsidR="001612B3" w:rsidRDefault="001612B3">
      <w:pPr>
        <w:rPr>
          <w:sz w:val="22"/>
          <w:szCs w:val="22"/>
          <w:u w:val="single"/>
        </w:rPr>
      </w:pPr>
    </w:p>
    <w:p w14:paraId="7BB10F08" w14:textId="77777777" w:rsidR="001612B3" w:rsidRDefault="001612B3">
      <w:pPr>
        <w:rPr>
          <w:sz w:val="22"/>
          <w:szCs w:val="22"/>
          <w:u w:val="single"/>
        </w:rPr>
      </w:pPr>
    </w:p>
    <w:p w14:paraId="529A9639" w14:textId="77777777" w:rsidR="001612B3" w:rsidRDefault="001612B3">
      <w:pPr>
        <w:rPr>
          <w:sz w:val="22"/>
          <w:szCs w:val="22"/>
          <w:u w:val="single"/>
        </w:rPr>
      </w:pPr>
    </w:p>
    <w:p w14:paraId="00D43EDC" w14:textId="2CA5CD71" w:rsidR="00AE03A2" w:rsidRPr="00A70BED" w:rsidRDefault="00260CA9">
      <w:pPr>
        <w:rPr>
          <w:sz w:val="22"/>
          <w:szCs w:val="22"/>
          <w:u w:val="single"/>
        </w:rPr>
      </w:pPr>
      <w:r>
        <w:rPr>
          <w:sz w:val="22"/>
          <w:szCs w:val="22"/>
          <w:u w:val="single"/>
        </w:rPr>
        <w:t>Abbreviations</w:t>
      </w:r>
    </w:p>
    <w:p w14:paraId="697C1C44" w14:textId="77777777" w:rsidR="00AE03A2" w:rsidRPr="00A70BED" w:rsidRDefault="00AE03A2">
      <w:pPr>
        <w:rPr>
          <w:sz w:val="22"/>
          <w:szCs w:val="22"/>
        </w:rPr>
      </w:pPr>
    </w:p>
    <w:p w14:paraId="51362FA0" w14:textId="6AC57671" w:rsidR="00597337" w:rsidRPr="00A70BED" w:rsidRDefault="00597337" w:rsidP="00F946AA">
      <w:pPr>
        <w:pStyle w:val="ListParagraph"/>
        <w:numPr>
          <w:ilvl w:val="0"/>
          <w:numId w:val="4"/>
        </w:numPr>
        <w:rPr>
          <w:sz w:val="22"/>
          <w:szCs w:val="22"/>
        </w:rPr>
      </w:pPr>
      <w:r w:rsidRPr="00A70BED">
        <w:rPr>
          <w:sz w:val="22"/>
          <w:szCs w:val="22"/>
        </w:rPr>
        <w:t>UHL – University Hospitals of Leicester</w:t>
      </w:r>
    </w:p>
    <w:p w14:paraId="7FC6AD3C" w14:textId="4CF79D73" w:rsidR="00E74539" w:rsidRPr="00A70BED" w:rsidRDefault="00E74539" w:rsidP="00F946AA">
      <w:pPr>
        <w:pStyle w:val="ListParagraph"/>
        <w:numPr>
          <w:ilvl w:val="0"/>
          <w:numId w:val="4"/>
        </w:numPr>
        <w:rPr>
          <w:sz w:val="22"/>
          <w:szCs w:val="22"/>
        </w:rPr>
      </w:pPr>
      <w:r w:rsidRPr="00A70BED">
        <w:rPr>
          <w:sz w:val="22"/>
          <w:szCs w:val="22"/>
        </w:rPr>
        <w:t xml:space="preserve">CCG – Clinical </w:t>
      </w:r>
      <w:r w:rsidR="00603E9D" w:rsidRPr="00A70BED">
        <w:rPr>
          <w:sz w:val="22"/>
          <w:szCs w:val="22"/>
        </w:rPr>
        <w:t>C</w:t>
      </w:r>
      <w:r w:rsidRPr="00A70BED">
        <w:rPr>
          <w:sz w:val="22"/>
          <w:szCs w:val="22"/>
        </w:rPr>
        <w:t xml:space="preserve">ommissioning </w:t>
      </w:r>
      <w:r w:rsidR="00603E9D" w:rsidRPr="00A70BED">
        <w:rPr>
          <w:sz w:val="22"/>
          <w:szCs w:val="22"/>
        </w:rPr>
        <w:t>G</w:t>
      </w:r>
      <w:r w:rsidRPr="00A70BED">
        <w:rPr>
          <w:sz w:val="22"/>
          <w:szCs w:val="22"/>
        </w:rPr>
        <w:t>roup</w:t>
      </w:r>
    </w:p>
    <w:p w14:paraId="27C8F56B" w14:textId="6FE1D3EF" w:rsidR="00E55BF4" w:rsidRPr="00A70BED" w:rsidRDefault="00E55BF4" w:rsidP="00F946AA">
      <w:pPr>
        <w:pStyle w:val="ListParagraph"/>
        <w:numPr>
          <w:ilvl w:val="0"/>
          <w:numId w:val="4"/>
        </w:numPr>
        <w:rPr>
          <w:sz w:val="22"/>
          <w:szCs w:val="22"/>
        </w:rPr>
      </w:pPr>
      <w:r w:rsidRPr="00A70BED">
        <w:rPr>
          <w:sz w:val="22"/>
          <w:szCs w:val="22"/>
        </w:rPr>
        <w:t>Colorectal – diseases and procedures of the bowel, rectum and anus.</w:t>
      </w:r>
    </w:p>
    <w:p w14:paraId="4D7A8229" w14:textId="77777777" w:rsidR="00E55BF4" w:rsidRPr="00A70BED" w:rsidRDefault="00E55BF4" w:rsidP="00F946AA">
      <w:pPr>
        <w:pStyle w:val="ListParagraph"/>
        <w:numPr>
          <w:ilvl w:val="0"/>
          <w:numId w:val="4"/>
        </w:numPr>
        <w:rPr>
          <w:sz w:val="22"/>
          <w:szCs w:val="22"/>
        </w:rPr>
      </w:pPr>
      <w:r w:rsidRPr="00A70BED">
        <w:rPr>
          <w:sz w:val="22"/>
          <w:szCs w:val="22"/>
        </w:rPr>
        <w:t>ELR – East Leicestershire and Rutland</w:t>
      </w:r>
    </w:p>
    <w:p w14:paraId="57E3D215" w14:textId="4F57C47B" w:rsidR="00E55BF4" w:rsidRPr="00A70BED" w:rsidRDefault="00E55BF4" w:rsidP="00F946AA">
      <w:pPr>
        <w:pStyle w:val="ListParagraph"/>
        <w:numPr>
          <w:ilvl w:val="0"/>
          <w:numId w:val="4"/>
        </w:numPr>
        <w:rPr>
          <w:sz w:val="22"/>
          <w:szCs w:val="22"/>
        </w:rPr>
      </w:pPr>
      <w:r w:rsidRPr="00A70BED">
        <w:rPr>
          <w:sz w:val="22"/>
          <w:szCs w:val="22"/>
        </w:rPr>
        <w:t xml:space="preserve">FBC – Full </w:t>
      </w:r>
      <w:r w:rsidR="00603E9D" w:rsidRPr="00A70BED">
        <w:rPr>
          <w:sz w:val="22"/>
          <w:szCs w:val="22"/>
        </w:rPr>
        <w:t>B</w:t>
      </w:r>
      <w:r w:rsidRPr="00A70BED">
        <w:rPr>
          <w:sz w:val="22"/>
          <w:szCs w:val="22"/>
        </w:rPr>
        <w:t>usiness Case</w:t>
      </w:r>
    </w:p>
    <w:p w14:paraId="1AF32D4E" w14:textId="77777777" w:rsidR="00E55BF4" w:rsidRPr="00A70BED" w:rsidRDefault="00E55BF4" w:rsidP="00F946AA">
      <w:pPr>
        <w:pStyle w:val="ListParagraph"/>
        <w:numPr>
          <w:ilvl w:val="0"/>
          <w:numId w:val="4"/>
        </w:numPr>
        <w:rPr>
          <w:sz w:val="22"/>
          <w:szCs w:val="22"/>
        </w:rPr>
      </w:pPr>
      <w:r w:rsidRPr="00A70BED">
        <w:rPr>
          <w:sz w:val="22"/>
          <w:szCs w:val="22"/>
        </w:rPr>
        <w:t xml:space="preserve">GH – Glenfield Hospital </w:t>
      </w:r>
    </w:p>
    <w:p w14:paraId="4B31C702" w14:textId="6D5237C8" w:rsidR="00E55BF4" w:rsidRDefault="00E55BF4" w:rsidP="00F946AA">
      <w:pPr>
        <w:pStyle w:val="ListParagraph"/>
        <w:numPr>
          <w:ilvl w:val="0"/>
          <w:numId w:val="4"/>
        </w:numPr>
        <w:rPr>
          <w:sz w:val="22"/>
          <w:szCs w:val="22"/>
        </w:rPr>
      </w:pPr>
      <w:r w:rsidRPr="00A70BED">
        <w:rPr>
          <w:sz w:val="22"/>
          <w:szCs w:val="22"/>
        </w:rPr>
        <w:t xml:space="preserve">General </w:t>
      </w:r>
      <w:r w:rsidR="00603E9D" w:rsidRPr="00A70BED">
        <w:rPr>
          <w:sz w:val="22"/>
          <w:szCs w:val="22"/>
        </w:rPr>
        <w:t>S</w:t>
      </w:r>
      <w:r w:rsidRPr="00A70BED">
        <w:rPr>
          <w:sz w:val="22"/>
          <w:szCs w:val="22"/>
        </w:rPr>
        <w:t>urgery – a wide range of surgery with sub-specialities, most commonly dealing with abdominal and chest injuries and disease (Royal College of Surgeons</w:t>
      </w:r>
      <w:r w:rsidRPr="00A70BED">
        <w:rPr>
          <w:rStyle w:val="FootnoteReference"/>
          <w:sz w:val="22"/>
          <w:szCs w:val="22"/>
        </w:rPr>
        <w:footnoteReference w:id="1"/>
      </w:r>
      <w:r w:rsidRPr="00A70BED">
        <w:rPr>
          <w:sz w:val="22"/>
          <w:szCs w:val="22"/>
        </w:rPr>
        <w:t>)</w:t>
      </w:r>
    </w:p>
    <w:p w14:paraId="707B1A13" w14:textId="6DD34FBD" w:rsidR="00615956" w:rsidRPr="00A70BED" w:rsidRDefault="00615956" w:rsidP="00F946AA">
      <w:pPr>
        <w:pStyle w:val="ListParagraph"/>
        <w:numPr>
          <w:ilvl w:val="0"/>
          <w:numId w:val="4"/>
        </w:numPr>
        <w:rPr>
          <w:sz w:val="22"/>
          <w:szCs w:val="22"/>
        </w:rPr>
      </w:pPr>
      <w:r>
        <w:rPr>
          <w:sz w:val="22"/>
          <w:szCs w:val="22"/>
        </w:rPr>
        <w:t>HOSC – health overview and scrutiny committee</w:t>
      </w:r>
    </w:p>
    <w:p w14:paraId="420CC819" w14:textId="3F82C97E" w:rsidR="00E55BF4" w:rsidRPr="00A70BED" w:rsidRDefault="00E55BF4" w:rsidP="00F946AA">
      <w:pPr>
        <w:pStyle w:val="ListParagraph"/>
        <w:numPr>
          <w:ilvl w:val="0"/>
          <w:numId w:val="4"/>
        </w:numPr>
        <w:rPr>
          <w:sz w:val="22"/>
          <w:szCs w:val="22"/>
        </w:rPr>
      </w:pPr>
      <w:r w:rsidRPr="00A70BED">
        <w:rPr>
          <w:sz w:val="22"/>
          <w:szCs w:val="22"/>
        </w:rPr>
        <w:t xml:space="preserve">HPB – hepato-pancreato-biliary system </w:t>
      </w:r>
      <w:r w:rsidR="00935B7F" w:rsidRPr="00A70BED">
        <w:rPr>
          <w:sz w:val="22"/>
          <w:szCs w:val="22"/>
        </w:rPr>
        <w:t>(</w:t>
      </w:r>
      <w:r w:rsidRPr="00A70BED">
        <w:rPr>
          <w:sz w:val="22"/>
          <w:szCs w:val="22"/>
        </w:rPr>
        <w:t>liver, pancreas, bile ducts and gall bladder</w:t>
      </w:r>
    </w:p>
    <w:p w14:paraId="458C71A8" w14:textId="7F6538D3" w:rsidR="00E55BF4" w:rsidRPr="00A70BED" w:rsidRDefault="00E55BF4" w:rsidP="00F946AA">
      <w:pPr>
        <w:pStyle w:val="ListParagraph"/>
        <w:numPr>
          <w:ilvl w:val="0"/>
          <w:numId w:val="4"/>
        </w:numPr>
        <w:rPr>
          <w:sz w:val="22"/>
          <w:szCs w:val="22"/>
        </w:rPr>
      </w:pPr>
      <w:r w:rsidRPr="00A70BED">
        <w:rPr>
          <w:sz w:val="22"/>
          <w:szCs w:val="22"/>
        </w:rPr>
        <w:t>ICU – intensive care unit</w:t>
      </w:r>
    </w:p>
    <w:p w14:paraId="15135207" w14:textId="77777777" w:rsidR="009751BD" w:rsidRPr="00A70BED" w:rsidRDefault="009751BD" w:rsidP="009751BD">
      <w:pPr>
        <w:pStyle w:val="ListParagraph"/>
        <w:numPr>
          <w:ilvl w:val="0"/>
          <w:numId w:val="4"/>
        </w:numPr>
        <w:rPr>
          <w:sz w:val="22"/>
          <w:szCs w:val="22"/>
        </w:rPr>
      </w:pPr>
      <w:r w:rsidRPr="00A70BED">
        <w:rPr>
          <w:sz w:val="22"/>
          <w:szCs w:val="22"/>
        </w:rPr>
        <w:t>LGH – Leicester General Hospital</w:t>
      </w:r>
    </w:p>
    <w:p w14:paraId="213E95DC" w14:textId="77777777" w:rsidR="009751BD" w:rsidRPr="00A70BED" w:rsidRDefault="009751BD" w:rsidP="009751BD">
      <w:pPr>
        <w:pStyle w:val="ListParagraph"/>
        <w:numPr>
          <w:ilvl w:val="0"/>
          <w:numId w:val="4"/>
        </w:numPr>
        <w:rPr>
          <w:sz w:val="22"/>
          <w:szCs w:val="22"/>
        </w:rPr>
      </w:pPr>
      <w:r w:rsidRPr="00A70BED">
        <w:rPr>
          <w:sz w:val="22"/>
          <w:szCs w:val="22"/>
        </w:rPr>
        <w:t>LRI –Leicester Royal Infirmary</w:t>
      </w:r>
    </w:p>
    <w:p w14:paraId="7907DF0D" w14:textId="77777777" w:rsidR="009751BD" w:rsidRPr="00413BF3" w:rsidRDefault="009751BD" w:rsidP="009751BD">
      <w:pPr>
        <w:pStyle w:val="ListParagraph"/>
        <w:numPr>
          <w:ilvl w:val="0"/>
          <w:numId w:val="4"/>
        </w:numPr>
        <w:rPr>
          <w:sz w:val="22"/>
          <w:szCs w:val="22"/>
        </w:rPr>
      </w:pPr>
      <w:r w:rsidRPr="00A70BED">
        <w:rPr>
          <w:sz w:val="22"/>
          <w:szCs w:val="22"/>
        </w:rPr>
        <w:t>Nephrology – medical management of diseases of the kidney</w:t>
      </w:r>
    </w:p>
    <w:p w14:paraId="3E04F686" w14:textId="77777777" w:rsidR="009751BD" w:rsidRDefault="009751BD" w:rsidP="009751BD">
      <w:pPr>
        <w:pStyle w:val="ListParagraph"/>
        <w:numPr>
          <w:ilvl w:val="0"/>
          <w:numId w:val="4"/>
        </w:numPr>
        <w:rPr>
          <w:sz w:val="22"/>
          <w:szCs w:val="22"/>
        </w:rPr>
      </w:pPr>
      <w:r w:rsidRPr="00A70BED">
        <w:rPr>
          <w:sz w:val="22"/>
          <w:szCs w:val="22"/>
        </w:rPr>
        <w:t>RT – Renal Transplant</w:t>
      </w:r>
    </w:p>
    <w:p w14:paraId="5F7255CF" w14:textId="77777777" w:rsidR="009751BD" w:rsidRPr="00A70BED" w:rsidRDefault="009751BD" w:rsidP="009751BD">
      <w:pPr>
        <w:pStyle w:val="ListParagraph"/>
        <w:numPr>
          <w:ilvl w:val="0"/>
          <w:numId w:val="4"/>
        </w:numPr>
        <w:rPr>
          <w:sz w:val="22"/>
          <w:szCs w:val="22"/>
        </w:rPr>
      </w:pPr>
      <w:r>
        <w:rPr>
          <w:sz w:val="22"/>
          <w:szCs w:val="22"/>
        </w:rPr>
        <w:t>STP – Sustainability and Transformation Plan / Partnership</w:t>
      </w:r>
    </w:p>
    <w:p w14:paraId="3F1E6C02" w14:textId="43671CBE" w:rsidR="009751BD" w:rsidRDefault="009751BD" w:rsidP="009751BD">
      <w:pPr>
        <w:pStyle w:val="ListParagraph"/>
        <w:rPr>
          <w:sz w:val="22"/>
          <w:szCs w:val="22"/>
        </w:rPr>
      </w:pPr>
      <w:r w:rsidRPr="00A70BED">
        <w:rPr>
          <w:sz w:val="22"/>
          <w:szCs w:val="22"/>
        </w:rPr>
        <w:t>UHL –</w:t>
      </w:r>
      <w:r>
        <w:rPr>
          <w:sz w:val="22"/>
          <w:szCs w:val="22"/>
        </w:rPr>
        <w:t xml:space="preserve"> </w:t>
      </w:r>
      <w:r w:rsidRPr="00A70BED">
        <w:rPr>
          <w:sz w:val="22"/>
          <w:szCs w:val="22"/>
        </w:rPr>
        <w:t>University Hospitals of Leicester NHS Tr</w:t>
      </w:r>
      <w:r>
        <w:rPr>
          <w:sz w:val="22"/>
          <w:szCs w:val="22"/>
        </w:rPr>
        <w:t>ust</w:t>
      </w:r>
    </w:p>
    <w:p w14:paraId="5C42CF6F" w14:textId="77777777" w:rsidR="009751BD" w:rsidRDefault="009751BD" w:rsidP="00E55BF4">
      <w:pPr>
        <w:pStyle w:val="ListParagraph"/>
        <w:rPr>
          <w:sz w:val="22"/>
          <w:szCs w:val="22"/>
        </w:rPr>
      </w:pPr>
    </w:p>
    <w:p w14:paraId="0A1CC32C" w14:textId="77777777" w:rsidR="009751BD" w:rsidRDefault="009751BD" w:rsidP="00E55BF4">
      <w:pPr>
        <w:pStyle w:val="ListParagraph"/>
        <w:rPr>
          <w:sz w:val="22"/>
          <w:szCs w:val="22"/>
        </w:rPr>
      </w:pPr>
    </w:p>
    <w:p w14:paraId="0C782D67" w14:textId="77777777" w:rsidR="009751BD" w:rsidRDefault="009751BD" w:rsidP="00E55BF4">
      <w:pPr>
        <w:pStyle w:val="ListParagraph"/>
        <w:rPr>
          <w:sz w:val="22"/>
          <w:szCs w:val="22"/>
        </w:rPr>
      </w:pPr>
    </w:p>
    <w:p w14:paraId="797287A7" w14:textId="77777777" w:rsidR="009751BD" w:rsidRDefault="009751BD" w:rsidP="00E55BF4">
      <w:pPr>
        <w:pStyle w:val="ListParagraph"/>
        <w:rPr>
          <w:sz w:val="22"/>
          <w:szCs w:val="22"/>
        </w:rPr>
      </w:pPr>
    </w:p>
    <w:p w14:paraId="77F04873" w14:textId="7F4F7968" w:rsidR="009751BD" w:rsidRDefault="00243946" w:rsidP="00E55BF4">
      <w:pPr>
        <w:pStyle w:val="ListParagraph"/>
        <w:rPr>
          <w:sz w:val="22"/>
          <w:szCs w:val="22"/>
        </w:rPr>
      </w:pPr>
      <w:r w:rsidRPr="00092365">
        <w:rPr>
          <w:b/>
          <w:sz w:val="22"/>
          <w:szCs w:val="22"/>
        </w:rPr>
        <w:t>ICU differing levels of support as follows</w:t>
      </w:r>
      <w:r>
        <w:rPr>
          <w:b/>
          <w:sz w:val="22"/>
          <w:szCs w:val="22"/>
        </w:rPr>
        <w:t>:</w:t>
      </w:r>
    </w:p>
    <w:p w14:paraId="58186E9E" w14:textId="77777777" w:rsidR="009751BD" w:rsidRDefault="009751BD" w:rsidP="00E55BF4">
      <w:pPr>
        <w:pStyle w:val="ListParagraph"/>
        <w:rPr>
          <w:sz w:val="22"/>
          <w:szCs w:val="22"/>
        </w:rPr>
      </w:pPr>
    </w:p>
    <w:p w14:paraId="0D2253F5" w14:textId="77777777" w:rsidR="009751BD" w:rsidRPr="00A70BED" w:rsidRDefault="009751BD" w:rsidP="00E55BF4">
      <w:pPr>
        <w:pStyle w:val="ListParagraph"/>
        <w:rPr>
          <w:sz w:val="22"/>
          <w:szCs w:val="22"/>
        </w:rPr>
      </w:pPr>
    </w:p>
    <w:tbl>
      <w:tblPr>
        <w:tblStyle w:val="TableGrid"/>
        <w:tblW w:w="8164" w:type="dxa"/>
        <w:tblInd w:w="360" w:type="dxa"/>
        <w:tblLook w:val="04A0" w:firstRow="1" w:lastRow="0" w:firstColumn="1" w:lastColumn="0" w:noHBand="0" w:noVBand="1"/>
      </w:tblPr>
      <w:tblGrid>
        <w:gridCol w:w="1304"/>
        <w:gridCol w:w="6860"/>
      </w:tblGrid>
      <w:tr w:rsidR="009751BD" w14:paraId="4251BFD0" w14:textId="77777777" w:rsidTr="009751BD">
        <w:tc>
          <w:tcPr>
            <w:tcW w:w="1304" w:type="dxa"/>
          </w:tcPr>
          <w:p w14:paraId="451E4ACC" w14:textId="4521BC12" w:rsidR="009751BD" w:rsidRDefault="009751BD" w:rsidP="00092365">
            <w:pPr>
              <w:rPr>
                <w:sz w:val="22"/>
                <w:szCs w:val="22"/>
              </w:rPr>
            </w:pPr>
            <w:r>
              <w:rPr>
                <w:sz w:val="22"/>
                <w:szCs w:val="22"/>
              </w:rPr>
              <w:t>Level 0</w:t>
            </w:r>
          </w:p>
        </w:tc>
        <w:tc>
          <w:tcPr>
            <w:tcW w:w="6860" w:type="dxa"/>
          </w:tcPr>
          <w:p w14:paraId="362847A8" w14:textId="4F2BC9A7" w:rsidR="009751BD" w:rsidRDefault="00B0044E" w:rsidP="00092365">
            <w:pPr>
              <w:rPr>
                <w:sz w:val="22"/>
                <w:szCs w:val="22"/>
              </w:rPr>
            </w:pPr>
            <w:r>
              <w:rPr>
                <w:sz w:val="22"/>
                <w:szCs w:val="22"/>
              </w:rPr>
              <w:t>Needs are met through normal care on acute wards</w:t>
            </w:r>
          </w:p>
        </w:tc>
      </w:tr>
      <w:tr w:rsidR="009751BD" w14:paraId="61B20C16" w14:textId="77777777" w:rsidTr="009751BD">
        <w:tc>
          <w:tcPr>
            <w:tcW w:w="1304" w:type="dxa"/>
          </w:tcPr>
          <w:p w14:paraId="553868DA" w14:textId="3A38CC9D" w:rsidR="009751BD" w:rsidRDefault="009751BD" w:rsidP="00092365">
            <w:pPr>
              <w:rPr>
                <w:sz w:val="22"/>
                <w:szCs w:val="22"/>
              </w:rPr>
            </w:pPr>
            <w:r>
              <w:rPr>
                <w:sz w:val="22"/>
                <w:szCs w:val="22"/>
              </w:rPr>
              <w:t>Level 1</w:t>
            </w:r>
          </w:p>
        </w:tc>
        <w:tc>
          <w:tcPr>
            <w:tcW w:w="6860" w:type="dxa"/>
          </w:tcPr>
          <w:p w14:paraId="701B4850" w14:textId="491B775A" w:rsidR="009751BD" w:rsidRDefault="00B0044E" w:rsidP="00243946">
            <w:pPr>
              <w:rPr>
                <w:sz w:val="22"/>
                <w:szCs w:val="22"/>
              </w:rPr>
            </w:pPr>
            <w:r>
              <w:rPr>
                <w:sz w:val="22"/>
                <w:szCs w:val="22"/>
              </w:rPr>
              <w:t>Patients at risk of their condition deteriorating, or recently moved from higher levels of care. Needs can be met on acute ward with additional advice and support from critical care team.</w:t>
            </w:r>
          </w:p>
        </w:tc>
      </w:tr>
      <w:tr w:rsidR="009751BD" w14:paraId="6CEE3BB0" w14:textId="77777777" w:rsidTr="009751BD">
        <w:tc>
          <w:tcPr>
            <w:tcW w:w="1304" w:type="dxa"/>
          </w:tcPr>
          <w:p w14:paraId="06869EE8" w14:textId="300E8737" w:rsidR="009751BD" w:rsidRDefault="009751BD" w:rsidP="00092365">
            <w:pPr>
              <w:rPr>
                <w:sz w:val="22"/>
                <w:szCs w:val="22"/>
              </w:rPr>
            </w:pPr>
            <w:r>
              <w:rPr>
                <w:sz w:val="22"/>
                <w:szCs w:val="22"/>
              </w:rPr>
              <w:t>Level 2</w:t>
            </w:r>
          </w:p>
        </w:tc>
        <w:tc>
          <w:tcPr>
            <w:tcW w:w="6860" w:type="dxa"/>
          </w:tcPr>
          <w:p w14:paraId="758AE7DF" w14:textId="747B08F1" w:rsidR="009751BD" w:rsidRDefault="00B0044E" w:rsidP="00092365">
            <w:pPr>
              <w:rPr>
                <w:sz w:val="22"/>
                <w:szCs w:val="22"/>
              </w:rPr>
            </w:pPr>
            <w:r>
              <w:rPr>
                <w:sz w:val="22"/>
                <w:szCs w:val="22"/>
              </w:rPr>
              <w:t>Patients requiring more detailed observation or intervention including support for a single failing organ system or post-operative care and those ‘stepping down’ from higher levels of care.</w:t>
            </w:r>
          </w:p>
        </w:tc>
      </w:tr>
      <w:tr w:rsidR="009751BD" w14:paraId="2C4744A8" w14:textId="77777777" w:rsidTr="009751BD">
        <w:tc>
          <w:tcPr>
            <w:tcW w:w="1304" w:type="dxa"/>
          </w:tcPr>
          <w:p w14:paraId="0A74BB83" w14:textId="164E8A28" w:rsidR="009751BD" w:rsidRDefault="00243946" w:rsidP="00092365">
            <w:pPr>
              <w:rPr>
                <w:sz w:val="22"/>
                <w:szCs w:val="22"/>
              </w:rPr>
            </w:pPr>
            <w:r>
              <w:rPr>
                <w:sz w:val="22"/>
                <w:szCs w:val="22"/>
              </w:rPr>
              <w:t>Level 3</w:t>
            </w:r>
            <w:r w:rsidR="009751BD">
              <w:rPr>
                <w:sz w:val="22"/>
                <w:szCs w:val="22"/>
              </w:rPr>
              <w:t xml:space="preserve"> </w:t>
            </w:r>
          </w:p>
        </w:tc>
        <w:tc>
          <w:tcPr>
            <w:tcW w:w="6860" w:type="dxa"/>
          </w:tcPr>
          <w:p w14:paraId="3B4A4BB5" w14:textId="20571DB5" w:rsidR="009751BD" w:rsidRDefault="00B0044E" w:rsidP="00243946">
            <w:pPr>
              <w:rPr>
                <w:sz w:val="22"/>
                <w:szCs w:val="22"/>
              </w:rPr>
            </w:pPr>
            <w:r>
              <w:rPr>
                <w:sz w:val="22"/>
                <w:szCs w:val="22"/>
              </w:rPr>
              <w:t>Patients requiring advanced respiratory support alone or basic respiratory support together with support f</w:t>
            </w:r>
            <w:r w:rsidR="00243946">
              <w:rPr>
                <w:sz w:val="22"/>
                <w:szCs w:val="22"/>
              </w:rPr>
              <w:t>o</w:t>
            </w:r>
            <w:r>
              <w:rPr>
                <w:sz w:val="22"/>
                <w:szCs w:val="22"/>
              </w:rPr>
              <w:t>r at least two organ</w:t>
            </w:r>
            <w:r w:rsidR="00243946">
              <w:rPr>
                <w:sz w:val="22"/>
                <w:szCs w:val="22"/>
              </w:rPr>
              <w:t xml:space="preserve"> systems. This level includes all complex patients requiring support for multi-organ failure.</w:t>
            </w:r>
          </w:p>
        </w:tc>
      </w:tr>
    </w:tbl>
    <w:p w14:paraId="2F996316" w14:textId="77777777" w:rsidR="00092365" w:rsidRDefault="00092365" w:rsidP="00092365">
      <w:pPr>
        <w:ind w:left="360"/>
        <w:rPr>
          <w:sz w:val="22"/>
          <w:szCs w:val="22"/>
        </w:rPr>
      </w:pPr>
    </w:p>
    <w:p w14:paraId="027AE5BF" w14:textId="77777777" w:rsidR="009751BD" w:rsidRDefault="009751BD" w:rsidP="00092365">
      <w:pPr>
        <w:ind w:left="360"/>
        <w:rPr>
          <w:sz w:val="22"/>
          <w:szCs w:val="22"/>
        </w:rPr>
      </w:pPr>
    </w:p>
    <w:p w14:paraId="2583B499" w14:textId="26F18058" w:rsidR="00243946" w:rsidRDefault="00243946">
      <w:pPr>
        <w:rPr>
          <w:sz w:val="22"/>
          <w:szCs w:val="22"/>
        </w:rPr>
      </w:pPr>
      <w:r>
        <w:rPr>
          <w:sz w:val="22"/>
          <w:szCs w:val="22"/>
        </w:rPr>
        <w:br w:type="page"/>
      </w:r>
    </w:p>
    <w:p w14:paraId="5CC8856F" w14:textId="77777777" w:rsidR="00B34DC6" w:rsidRPr="00A70BED" w:rsidRDefault="00B34DC6" w:rsidP="00507361">
      <w:pPr>
        <w:spacing w:line="360" w:lineRule="auto"/>
        <w:rPr>
          <w:b/>
          <w:sz w:val="22"/>
          <w:szCs w:val="22"/>
        </w:rPr>
      </w:pPr>
      <w:r w:rsidRPr="00A70BED">
        <w:rPr>
          <w:b/>
          <w:sz w:val="22"/>
          <w:szCs w:val="22"/>
        </w:rPr>
        <w:lastRenderedPageBreak/>
        <w:t>Executive summary</w:t>
      </w:r>
    </w:p>
    <w:p w14:paraId="13B3D02A" w14:textId="77777777" w:rsidR="00B34DC6" w:rsidRPr="00A70BED" w:rsidRDefault="00B34DC6" w:rsidP="00507361">
      <w:pPr>
        <w:spacing w:line="360" w:lineRule="auto"/>
        <w:rPr>
          <w:sz w:val="22"/>
          <w:szCs w:val="22"/>
        </w:rPr>
      </w:pPr>
    </w:p>
    <w:p w14:paraId="744590C1" w14:textId="479CFBB4" w:rsidR="00B34DC6" w:rsidRPr="00A70BED" w:rsidRDefault="00B34DC6" w:rsidP="00507361">
      <w:pPr>
        <w:spacing w:line="360" w:lineRule="auto"/>
        <w:rPr>
          <w:sz w:val="22"/>
          <w:szCs w:val="22"/>
        </w:rPr>
      </w:pPr>
      <w:r w:rsidRPr="00A70BED">
        <w:rPr>
          <w:sz w:val="22"/>
          <w:szCs w:val="22"/>
        </w:rPr>
        <w:t>This report discusses the University Hospitals of Leicester NHS Trust’s full business case for relocation of level 3 intensive care beds and associated services from Leicester General Hospital to Glenfield Hospital</w:t>
      </w:r>
      <w:r w:rsidR="00FD55E9">
        <w:rPr>
          <w:sz w:val="22"/>
          <w:szCs w:val="22"/>
        </w:rPr>
        <w:t xml:space="preserve"> and Leicester Royal Infirmary</w:t>
      </w:r>
      <w:r w:rsidRPr="00A70BED">
        <w:rPr>
          <w:sz w:val="22"/>
          <w:szCs w:val="22"/>
        </w:rPr>
        <w:t xml:space="preserve">.  This was first presented to its Governing Board and </w:t>
      </w:r>
      <w:r w:rsidR="00935B7F" w:rsidRPr="00A70BED">
        <w:rPr>
          <w:sz w:val="22"/>
          <w:szCs w:val="22"/>
        </w:rPr>
        <w:t>placed in</w:t>
      </w:r>
      <w:r w:rsidRPr="00A70BED">
        <w:rPr>
          <w:sz w:val="22"/>
          <w:szCs w:val="22"/>
        </w:rPr>
        <w:t xml:space="preserve"> the public domain in July 2018; with work planned to commence in October/November 2018.  </w:t>
      </w:r>
      <w:r w:rsidR="00935B7F" w:rsidRPr="00A70BED">
        <w:rPr>
          <w:sz w:val="22"/>
          <w:szCs w:val="22"/>
        </w:rPr>
        <w:t>The full business case raises a number of concerns set out in this report:-</w:t>
      </w:r>
    </w:p>
    <w:p w14:paraId="2BCF307A" w14:textId="77777777" w:rsidR="00B34DC6" w:rsidRPr="00A70BED" w:rsidRDefault="00B34DC6" w:rsidP="00507361">
      <w:pPr>
        <w:spacing w:line="360" w:lineRule="auto"/>
        <w:rPr>
          <w:sz w:val="22"/>
          <w:szCs w:val="22"/>
        </w:rPr>
      </w:pPr>
    </w:p>
    <w:p w14:paraId="4683959B" w14:textId="5B3C2E09" w:rsidR="00B34DC6" w:rsidRPr="00A70BED" w:rsidRDefault="00935B7F" w:rsidP="00507361">
      <w:pPr>
        <w:pStyle w:val="ListParagraph"/>
        <w:numPr>
          <w:ilvl w:val="0"/>
          <w:numId w:val="35"/>
        </w:numPr>
        <w:spacing w:line="360" w:lineRule="auto"/>
        <w:ind w:firstLine="0"/>
        <w:rPr>
          <w:sz w:val="22"/>
          <w:szCs w:val="22"/>
        </w:rPr>
      </w:pPr>
      <w:r w:rsidRPr="00A70BED">
        <w:rPr>
          <w:sz w:val="22"/>
          <w:szCs w:val="22"/>
        </w:rPr>
        <w:t>There has been no formal</w:t>
      </w:r>
      <w:r w:rsidR="00B34DC6" w:rsidRPr="00A70BED">
        <w:rPr>
          <w:sz w:val="22"/>
          <w:szCs w:val="22"/>
        </w:rPr>
        <w:t xml:space="preserve"> public consultation about this substantial change</w:t>
      </w:r>
      <w:r w:rsidRPr="00A70BED">
        <w:rPr>
          <w:sz w:val="22"/>
          <w:szCs w:val="22"/>
        </w:rPr>
        <w:t xml:space="preserve"> in service delivery</w:t>
      </w:r>
      <w:r w:rsidR="00B34DC6" w:rsidRPr="00A70BED">
        <w:rPr>
          <w:sz w:val="22"/>
          <w:szCs w:val="22"/>
        </w:rPr>
        <w:t xml:space="preserve">, involving geographical relocation of services, by </w:t>
      </w:r>
      <w:r w:rsidRPr="00A70BED">
        <w:rPr>
          <w:sz w:val="22"/>
          <w:szCs w:val="22"/>
        </w:rPr>
        <w:t xml:space="preserve">either </w:t>
      </w:r>
      <w:r w:rsidR="00B34DC6" w:rsidRPr="00A70BED">
        <w:rPr>
          <w:sz w:val="22"/>
          <w:szCs w:val="22"/>
        </w:rPr>
        <w:t xml:space="preserve">the University Hospitals of Leicester </w:t>
      </w:r>
      <w:r w:rsidR="00A177AD">
        <w:rPr>
          <w:sz w:val="22"/>
          <w:szCs w:val="22"/>
        </w:rPr>
        <w:t xml:space="preserve">NHS Trust </w:t>
      </w:r>
      <w:r w:rsidRPr="00A70BED">
        <w:rPr>
          <w:sz w:val="22"/>
          <w:szCs w:val="22"/>
        </w:rPr>
        <w:t xml:space="preserve">or </w:t>
      </w:r>
      <w:r w:rsidR="00A177AD">
        <w:rPr>
          <w:sz w:val="22"/>
          <w:szCs w:val="22"/>
        </w:rPr>
        <w:t xml:space="preserve">by </w:t>
      </w:r>
      <w:r w:rsidR="00B34DC6" w:rsidRPr="00A70BED">
        <w:rPr>
          <w:sz w:val="22"/>
          <w:szCs w:val="22"/>
        </w:rPr>
        <w:t xml:space="preserve">the Leicester, Leicestershire and Rutland </w:t>
      </w:r>
      <w:r w:rsidRPr="00A70BED">
        <w:rPr>
          <w:sz w:val="22"/>
          <w:szCs w:val="22"/>
        </w:rPr>
        <w:t>C</w:t>
      </w:r>
      <w:r w:rsidR="00B34DC6" w:rsidRPr="00A70BED">
        <w:rPr>
          <w:sz w:val="22"/>
          <w:szCs w:val="22"/>
        </w:rPr>
        <w:t xml:space="preserve">linical </w:t>
      </w:r>
      <w:r w:rsidRPr="00A70BED">
        <w:rPr>
          <w:sz w:val="22"/>
          <w:szCs w:val="22"/>
        </w:rPr>
        <w:t>C</w:t>
      </w:r>
      <w:r w:rsidR="00B34DC6" w:rsidRPr="00A70BED">
        <w:rPr>
          <w:sz w:val="22"/>
          <w:szCs w:val="22"/>
        </w:rPr>
        <w:t xml:space="preserve">ommissioning </w:t>
      </w:r>
      <w:r w:rsidRPr="00A70BED">
        <w:rPr>
          <w:sz w:val="22"/>
          <w:szCs w:val="22"/>
        </w:rPr>
        <w:t>G</w:t>
      </w:r>
      <w:r w:rsidR="00B34DC6" w:rsidRPr="00A70BED">
        <w:rPr>
          <w:sz w:val="22"/>
          <w:szCs w:val="22"/>
        </w:rPr>
        <w:t>roups.</w:t>
      </w:r>
    </w:p>
    <w:p w14:paraId="7F474DCB" w14:textId="77777777" w:rsidR="00935B7F" w:rsidRPr="00A70BED" w:rsidRDefault="00935B7F" w:rsidP="00507361">
      <w:pPr>
        <w:spacing w:line="360" w:lineRule="auto"/>
        <w:rPr>
          <w:sz w:val="22"/>
          <w:szCs w:val="22"/>
        </w:rPr>
      </w:pPr>
    </w:p>
    <w:p w14:paraId="52D557DD" w14:textId="6C7105F9" w:rsidR="00935B7F" w:rsidRPr="00A70BED" w:rsidRDefault="00935B7F" w:rsidP="00507361">
      <w:pPr>
        <w:pStyle w:val="ListParagraph"/>
        <w:numPr>
          <w:ilvl w:val="0"/>
          <w:numId w:val="35"/>
        </w:numPr>
        <w:spacing w:line="360" w:lineRule="auto"/>
        <w:ind w:firstLine="0"/>
        <w:rPr>
          <w:sz w:val="22"/>
          <w:szCs w:val="22"/>
        </w:rPr>
      </w:pPr>
      <w:r w:rsidRPr="00A70BED">
        <w:rPr>
          <w:sz w:val="22"/>
          <w:szCs w:val="22"/>
        </w:rPr>
        <w:t xml:space="preserve">The appendices, which contain important technical details underpinning the full business case, have not been placed in </w:t>
      </w:r>
      <w:r w:rsidR="001B45C7" w:rsidRPr="00A70BED">
        <w:rPr>
          <w:sz w:val="22"/>
          <w:szCs w:val="22"/>
        </w:rPr>
        <w:t>the public domain.  This impede</w:t>
      </w:r>
      <w:r w:rsidRPr="00A70BED">
        <w:rPr>
          <w:sz w:val="22"/>
          <w:szCs w:val="22"/>
        </w:rPr>
        <w:t>s the public’s access to relevant information and</w:t>
      </w:r>
      <w:r w:rsidR="00A177AD">
        <w:rPr>
          <w:sz w:val="22"/>
          <w:szCs w:val="22"/>
        </w:rPr>
        <w:t xml:space="preserve"> the</w:t>
      </w:r>
      <w:r w:rsidRPr="00A70BED">
        <w:rPr>
          <w:sz w:val="22"/>
          <w:szCs w:val="22"/>
        </w:rPr>
        <w:t xml:space="preserve"> effective assessment of </w:t>
      </w:r>
      <w:r w:rsidR="00FD55E9">
        <w:rPr>
          <w:sz w:val="22"/>
          <w:szCs w:val="22"/>
        </w:rPr>
        <w:t xml:space="preserve">all the practicalities and implications of </w:t>
      </w:r>
      <w:r w:rsidRPr="00A70BED">
        <w:rPr>
          <w:sz w:val="22"/>
          <w:szCs w:val="22"/>
        </w:rPr>
        <w:t>the full business case.</w:t>
      </w:r>
    </w:p>
    <w:p w14:paraId="7C7087BA" w14:textId="77777777" w:rsidR="00B34DC6" w:rsidRPr="00A70BED" w:rsidRDefault="00B34DC6" w:rsidP="00507361">
      <w:pPr>
        <w:spacing w:line="360" w:lineRule="auto"/>
        <w:rPr>
          <w:sz w:val="22"/>
          <w:szCs w:val="22"/>
        </w:rPr>
      </w:pPr>
    </w:p>
    <w:p w14:paraId="0413D426" w14:textId="1C23B77D" w:rsidR="00B34DC6" w:rsidRPr="00A70BED" w:rsidRDefault="00B34DC6" w:rsidP="00507361">
      <w:pPr>
        <w:pStyle w:val="ListParagraph"/>
        <w:numPr>
          <w:ilvl w:val="0"/>
          <w:numId w:val="35"/>
        </w:numPr>
        <w:spacing w:line="360" w:lineRule="auto"/>
        <w:ind w:firstLine="0"/>
        <w:rPr>
          <w:sz w:val="22"/>
          <w:szCs w:val="22"/>
        </w:rPr>
      </w:pPr>
      <w:r w:rsidRPr="00A70BED">
        <w:rPr>
          <w:sz w:val="22"/>
          <w:szCs w:val="22"/>
        </w:rPr>
        <w:t>The full business case places th</w:t>
      </w:r>
      <w:r w:rsidR="00935B7F" w:rsidRPr="00A70BED">
        <w:rPr>
          <w:sz w:val="22"/>
          <w:szCs w:val="22"/>
        </w:rPr>
        <w:t>e proposed reorganisation</w:t>
      </w:r>
      <w:r w:rsidR="00FD55E9">
        <w:rPr>
          <w:sz w:val="22"/>
          <w:szCs w:val="22"/>
        </w:rPr>
        <w:t>, across Leicester’s three acute hospitals,</w:t>
      </w:r>
      <w:r w:rsidR="00935B7F" w:rsidRPr="00A70BED">
        <w:rPr>
          <w:sz w:val="22"/>
          <w:szCs w:val="22"/>
        </w:rPr>
        <w:t xml:space="preserve"> of the Intensive Care Units and associated services</w:t>
      </w:r>
      <w:r w:rsidRPr="00A70BED">
        <w:rPr>
          <w:sz w:val="22"/>
          <w:szCs w:val="22"/>
        </w:rPr>
        <w:t xml:space="preserve"> </w:t>
      </w:r>
      <w:r w:rsidR="00935B7F" w:rsidRPr="00A70BED">
        <w:rPr>
          <w:sz w:val="22"/>
          <w:szCs w:val="22"/>
        </w:rPr>
        <w:t>firmly</w:t>
      </w:r>
      <w:r w:rsidRPr="00A70BED">
        <w:rPr>
          <w:sz w:val="22"/>
          <w:szCs w:val="22"/>
        </w:rPr>
        <w:t xml:space="preserve"> </w:t>
      </w:r>
      <w:r w:rsidR="007E2B9E" w:rsidRPr="00A70BED">
        <w:rPr>
          <w:sz w:val="22"/>
          <w:szCs w:val="22"/>
        </w:rPr>
        <w:t xml:space="preserve">within </w:t>
      </w:r>
      <w:r w:rsidRPr="00A70BED">
        <w:rPr>
          <w:sz w:val="22"/>
          <w:szCs w:val="22"/>
        </w:rPr>
        <w:t>the Sustainability and Transformation Plan (</w:t>
      </w:r>
      <w:r w:rsidR="00935B7F" w:rsidRPr="00A70BED">
        <w:rPr>
          <w:sz w:val="22"/>
          <w:szCs w:val="22"/>
        </w:rPr>
        <w:t>sometimes</w:t>
      </w:r>
      <w:r w:rsidRPr="00A70BED">
        <w:rPr>
          <w:sz w:val="22"/>
          <w:szCs w:val="22"/>
        </w:rPr>
        <w:t xml:space="preserve"> </w:t>
      </w:r>
      <w:r w:rsidR="00935B7F" w:rsidRPr="00A70BED">
        <w:rPr>
          <w:sz w:val="22"/>
          <w:szCs w:val="22"/>
        </w:rPr>
        <w:t>referred to as</w:t>
      </w:r>
      <w:r w:rsidRPr="00A70BED">
        <w:rPr>
          <w:sz w:val="22"/>
          <w:szCs w:val="22"/>
        </w:rPr>
        <w:t xml:space="preserve"> the Better Care Together plan).</w:t>
      </w:r>
      <w:r w:rsidR="00F17E63">
        <w:rPr>
          <w:sz w:val="22"/>
          <w:szCs w:val="22"/>
        </w:rPr>
        <w:t xml:space="preserve"> The ICU proposals are seen as part of UHL’s strategy of moving from three acute hospital sites to two.</w:t>
      </w:r>
      <w:r w:rsidR="00307C95">
        <w:rPr>
          <w:sz w:val="22"/>
          <w:szCs w:val="22"/>
        </w:rPr>
        <w:t xml:space="preserve">  </w:t>
      </w:r>
      <w:r w:rsidR="001B45C7" w:rsidRPr="00A70BED">
        <w:rPr>
          <w:sz w:val="22"/>
          <w:szCs w:val="22"/>
        </w:rPr>
        <w:t xml:space="preserve">However, </w:t>
      </w:r>
      <w:r w:rsidR="007E2B9E" w:rsidRPr="00A70BED">
        <w:rPr>
          <w:sz w:val="22"/>
          <w:szCs w:val="22"/>
        </w:rPr>
        <w:t xml:space="preserve">there has been no </w:t>
      </w:r>
      <w:r w:rsidR="009E4FB1" w:rsidRPr="00A70BED">
        <w:rPr>
          <w:sz w:val="22"/>
          <w:szCs w:val="22"/>
        </w:rPr>
        <w:t>finalised version</w:t>
      </w:r>
      <w:r w:rsidR="007E2B9E" w:rsidRPr="00A70BED">
        <w:rPr>
          <w:sz w:val="22"/>
          <w:szCs w:val="22"/>
        </w:rPr>
        <w:t xml:space="preserve"> of the Sustain</w:t>
      </w:r>
      <w:r w:rsidR="009E4FB1" w:rsidRPr="00A70BED">
        <w:rPr>
          <w:sz w:val="22"/>
          <w:szCs w:val="22"/>
        </w:rPr>
        <w:t>ability and Transformation Plan published</w:t>
      </w:r>
      <w:r w:rsidR="00260CA9">
        <w:rPr>
          <w:sz w:val="22"/>
          <w:szCs w:val="22"/>
        </w:rPr>
        <w:t>,</w:t>
      </w:r>
      <w:r w:rsidR="007E2B9E" w:rsidRPr="00A70BED">
        <w:rPr>
          <w:sz w:val="22"/>
          <w:szCs w:val="22"/>
        </w:rPr>
        <w:t xml:space="preserve"> </w:t>
      </w:r>
      <w:r w:rsidR="00260CA9">
        <w:rPr>
          <w:sz w:val="22"/>
          <w:szCs w:val="22"/>
        </w:rPr>
        <w:t>n</w:t>
      </w:r>
      <w:r w:rsidR="009E4FB1" w:rsidRPr="00A70BED">
        <w:rPr>
          <w:sz w:val="22"/>
          <w:szCs w:val="22"/>
        </w:rPr>
        <w:t>or has there been any</w:t>
      </w:r>
      <w:r w:rsidR="00307C95">
        <w:rPr>
          <w:sz w:val="22"/>
          <w:szCs w:val="22"/>
        </w:rPr>
        <w:t xml:space="preserve"> </w:t>
      </w:r>
      <w:r w:rsidR="009E4FB1" w:rsidRPr="00A70BED">
        <w:rPr>
          <w:sz w:val="22"/>
          <w:szCs w:val="22"/>
        </w:rPr>
        <w:t xml:space="preserve">public consultation about proposals to move from three </w:t>
      </w:r>
      <w:r w:rsidR="001B45C7" w:rsidRPr="00A70BED">
        <w:rPr>
          <w:sz w:val="22"/>
          <w:szCs w:val="22"/>
        </w:rPr>
        <w:t xml:space="preserve">acute hospital sites to two. </w:t>
      </w:r>
      <w:r w:rsidRPr="00A70BED">
        <w:rPr>
          <w:sz w:val="22"/>
          <w:szCs w:val="22"/>
        </w:rPr>
        <w:t xml:space="preserve"> </w:t>
      </w:r>
    </w:p>
    <w:p w14:paraId="07BE751F" w14:textId="77777777" w:rsidR="00B34DC6" w:rsidRPr="00A70BED" w:rsidRDefault="00B34DC6" w:rsidP="00507361">
      <w:pPr>
        <w:spacing w:line="360" w:lineRule="auto"/>
        <w:rPr>
          <w:sz w:val="22"/>
          <w:szCs w:val="22"/>
        </w:rPr>
      </w:pPr>
    </w:p>
    <w:p w14:paraId="309FEC65" w14:textId="1713205F" w:rsidR="00B34DC6" w:rsidRPr="00A70BED" w:rsidRDefault="00B34DC6" w:rsidP="00507361">
      <w:pPr>
        <w:pStyle w:val="ListParagraph"/>
        <w:numPr>
          <w:ilvl w:val="0"/>
          <w:numId w:val="35"/>
        </w:numPr>
        <w:spacing w:line="360" w:lineRule="auto"/>
        <w:ind w:firstLine="0"/>
        <w:rPr>
          <w:sz w:val="22"/>
          <w:szCs w:val="22"/>
        </w:rPr>
      </w:pPr>
      <w:r w:rsidRPr="00A70BED">
        <w:rPr>
          <w:sz w:val="22"/>
          <w:szCs w:val="22"/>
        </w:rPr>
        <w:t>Three clinical services,</w:t>
      </w:r>
      <w:r w:rsidR="001B45C7" w:rsidRPr="00A70BED">
        <w:rPr>
          <w:sz w:val="22"/>
          <w:szCs w:val="22"/>
        </w:rPr>
        <w:t xml:space="preserve"> renal, hepato-pancreato-biliary and urology,</w:t>
      </w:r>
      <w:r w:rsidRPr="00A70BED">
        <w:rPr>
          <w:sz w:val="22"/>
          <w:szCs w:val="22"/>
        </w:rPr>
        <w:t xml:space="preserve"> hitherto operated at Leicester General Hospital, </w:t>
      </w:r>
      <w:r w:rsidR="001B45C7" w:rsidRPr="00A70BED">
        <w:rPr>
          <w:sz w:val="22"/>
          <w:szCs w:val="22"/>
        </w:rPr>
        <w:t>will</w:t>
      </w:r>
      <w:r w:rsidRPr="00A70BED">
        <w:rPr>
          <w:sz w:val="22"/>
          <w:szCs w:val="22"/>
        </w:rPr>
        <w:t xml:space="preserve"> be disrupted </w:t>
      </w:r>
      <w:r w:rsidR="001B45C7" w:rsidRPr="00A70BED">
        <w:rPr>
          <w:sz w:val="22"/>
          <w:szCs w:val="22"/>
        </w:rPr>
        <w:t>by the proposals set out in the full business case</w:t>
      </w:r>
      <w:r w:rsidR="007563AE" w:rsidRPr="00A70BED">
        <w:rPr>
          <w:sz w:val="22"/>
          <w:szCs w:val="22"/>
        </w:rPr>
        <w:t xml:space="preserve"> as t</w:t>
      </w:r>
      <w:r w:rsidRPr="00A70BED">
        <w:rPr>
          <w:sz w:val="22"/>
          <w:szCs w:val="22"/>
        </w:rPr>
        <w:t>hey will be split across two sites</w:t>
      </w:r>
      <w:r w:rsidR="00260CA9">
        <w:rPr>
          <w:sz w:val="22"/>
          <w:szCs w:val="22"/>
        </w:rPr>
        <w:t xml:space="preserve"> – the Leicester General Hospital and the Glenfield Hospital</w:t>
      </w:r>
      <w:r w:rsidR="007563AE" w:rsidRPr="00A70BED">
        <w:rPr>
          <w:sz w:val="22"/>
          <w:szCs w:val="22"/>
        </w:rPr>
        <w:t xml:space="preserve">. </w:t>
      </w:r>
      <w:r w:rsidRPr="00A70BED">
        <w:rPr>
          <w:sz w:val="22"/>
          <w:szCs w:val="22"/>
        </w:rPr>
        <w:t xml:space="preserve"> </w:t>
      </w:r>
      <w:r w:rsidR="007563AE" w:rsidRPr="00A70BED">
        <w:rPr>
          <w:sz w:val="22"/>
          <w:szCs w:val="22"/>
        </w:rPr>
        <w:t>T</w:t>
      </w:r>
      <w:r w:rsidRPr="00A70BED">
        <w:rPr>
          <w:sz w:val="22"/>
          <w:szCs w:val="22"/>
        </w:rPr>
        <w:t xml:space="preserve">his </w:t>
      </w:r>
      <w:r w:rsidR="007563AE" w:rsidRPr="00A70BED">
        <w:rPr>
          <w:sz w:val="22"/>
          <w:szCs w:val="22"/>
        </w:rPr>
        <w:t xml:space="preserve">poses the risk of </w:t>
      </w:r>
      <w:r w:rsidRPr="00A70BED">
        <w:rPr>
          <w:sz w:val="22"/>
          <w:szCs w:val="22"/>
        </w:rPr>
        <w:t xml:space="preserve">discontinuities of services and care, logistical difficulties for patients </w:t>
      </w:r>
      <w:r w:rsidR="00260CA9">
        <w:rPr>
          <w:sz w:val="22"/>
          <w:szCs w:val="22"/>
        </w:rPr>
        <w:t xml:space="preserve">and visitors </w:t>
      </w:r>
      <w:r w:rsidRPr="00A70BED">
        <w:rPr>
          <w:sz w:val="22"/>
          <w:szCs w:val="22"/>
        </w:rPr>
        <w:t xml:space="preserve">and, possibly, clinical risks.  </w:t>
      </w:r>
    </w:p>
    <w:p w14:paraId="023CB922" w14:textId="77777777" w:rsidR="00B34DC6" w:rsidRPr="00A70BED" w:rsidRDefault="00B34DC6" w:rsidP="00507361">
      <w:pPr>
        <w:spacing w:line="360" w:lineRule="auto"/>
        <w:rPr>
          <w:sz w:val="22"/>
          <w:szCs w:val="22"/>
        </w:rPr>
      </w:pPr>
    </w:p>
    <w:p w14:paraId="6E970A0A" w14:textId="380128BB" w:rsidR="00B34DC6" w:rsidRPr="00A70BED" w:rsidRDefault="00B34DC6" w:rsidP="00507361">
      <w:pPr>
        <w:pStyle w:val="ListParagraph"/>
        <w:numPr>
          <w:ilvl w:val="0"/>
          <w:numId w:val="35"/>
        </w:numPr>
        <w:spacing w:line="360" w:lineRule="auto"/>
        <w:ind w:firstLine="0"/>
        <w:rPr>
          <w:sz w:val="22"/>
          <w:szCs w:val="22"/>
        </w:rPr>
      </w:pPr>
      <w:r w:rsidRPr="00A70BED">
        <w:rPr>
          <w:sz w:val="22"/>
          <w:szCs w:val="22"/>
        </w:rPr>
        <w:t>Government planning and construction recommendations for hospital buildings will not be met as the Trust endeavours to incorporate too much in</w:t>
      </w:r>
      <w:r w:rsidR="007563AE" w:rsidRPr="00A70BED">
        <w:rPr>
          <w:sz w:val="22"/>
          <w:szCs w:val="22"/>
        </w:rPr>
        <w:t>to</w:t>
      </w:r>
      <w:r w:rsidRPr="00A70BED">
        <w:rPr>
          <w:sz w:val="22"/>
          <w:szCs w:val="22"/>
        </w:rPr>
        <w:t xml:space="preserve"> </w:t>
      </w:r>
      <w:r w:rsidRPr="00A70BED">
        <w:rPr>
          <w:sz w:val="22"/>
          <w:szCs w:val="22"/>
        </w:rPr>
        <w:lastRenderedPageBreak/>
        <w:t>too small an area in order to c</w:t>
      </w:r>
      <w:r w:rsidR="009E4FB1" w:rsidRPr="00A70BED">
        <w:rPr>
          <w:sz w:val="22"/>
          <w:szCs w:val="22"/>
        </w:rPr>
        <w:t>ontain</w:t>
      </w:r>
      <w:r w:rsidRPr="00A70BED">
        <w:rPr>
          <w:sz w:val="22"/>
          <w:szCs w:val="22"/>
        </w:rPr>
        <w:t xml:space="preserve"> costs.</w:t>
      </w:r>
      <w:r w:rsidR="003742DE" w:rsidRPr="00A70BED">
        <w:rPr>
          <w:sz w:val="22"/>
          <w:szCs w:val="22"/>
        </w:rPr>
        <w:t xml:space="preserve"> </w:t>
      </w:r>
      <w:r w:rsidR="00AB3DF6">
        <w:rPr>
          <w:sz w:val="22"/>
          <w:szCs w:val="22"/>
        </w:rPr>
        <w:t xml:space="preserve"> </w:t>
      </w:r>
      <w:r w:rsidR="00413BF3">
        <w:rPr>
          <w:sz w:val="22"/>
          <w:szCs w:val="22"/>
        </w:rPr>
        <w:t>S</w:t>
      </w:r>
      <w:r w:rsidR="00614972" w:rsidRPr="00A70BED">
        <w:rPr>
          <w:sz w:val="22"/>
          <w:szCs w:val="22"/>
        </w:rPr>
        <w:t xml:space="preserve">iting the new building in a restricted space on top of existing wards </w:t>
      </w:r>
      <w:r w:rsidR="00413BF3">
        <w:rPr>
          <w:sz w:val="22"/>
          <w:szCs w:val="22"/>
        </w:rPr>
        <w:t xml:space="preserve">means </w:t>
      </w:r>
      <w:r w:rsidR="00413BF3" w:rsidRPr="001A29C4">
        <w:rPr>
          <w:sz w:val="22"/>
          <w:szCs w:val="22"/>
        </w:rPr>
        <w:t>that</w:t>
      </w:r>
      <w:r w:rsidR="00614972" w:rsidRPr="001A29C4">
        <w:rPr>
          <w:sz w:val="22"/>
          <w:szCs w:val="22"/>
        </w:rPr>
        <w:t xml:space="preserve"> current </w:t>
      </w:r>
      <w:r w:rsidR="00413BF3" w:rsidRPr="001A29C4">
        <w:rPr>
          <w:sz w:val="22"/>
          <w:szCs w:val="22"/>
        </w:rPr>
        <w:t>buildings recommendation</w:t>
      </w:r>
      <w:r w:rsidR="00AB3DF6" w:rsidRPr="001A29C4">
        <w:rPr>
          <w:sz w:val="22"/>
          <w:szCs w:val="22"/>
        </w:rPr>
        <w:t>s</w:t>
      </w:r>
      <w:r w:rsidR="00614972" w:rsidRPr="00A70BED">
        <w:rPr>
          <w:sz w:val="22"/>
          <w:szCs w:val="22"/>
        </w:rPr>
        <w:t xml:space="preserve"> </w:t>
      </w:r>
      <w:r w:rsidR="0013066B">
        <w:rPr>
          <w:sz w:val="22"/>
          <w:szCs w:val="22"/>
        </w:rPr>
        <w:t xml:space="preserve">cannot be achieved </w:t>
      </w:r>
      <w:r w:rsidR="00614972" w:rsidRPr="00A70BED">
        <w:rPr>
          <w:sz w:val="22"/>
          <w:szCs w:val="22"/>
        </w:rPr>
        <w:t>and</w:t>
      </w:r>
      <w:r w:rsidRPr="00A70BED">
        <w:rPr>
          <w:sz w:val="22"/>
          <w:szCs w:val="22"/>
        </w:rPr>
        <w:t xml:space="preserve"> </w:t>
      </w:r>
      <w:r w:rsidR="00AB3DF6">
        <w:rPr>
          <w:sz w:val="22"/>
          <w:szCs w:val="22"/>
        </w:rPr>
        <w:t xml:space="preserve">there is a risk that the new-build wards </w:t>
      </w:r>
      <w:r w:rsidRPr="00A70BED">
        <w:rPr>
          <w:sz w:val="22"/>
          <w:szCs w:val="22"/>
        </w:rPr>
        <w:t xml:space="preserve">will not be fit for long term service, </w:t>
      </w:r>
      <w:r w:rsidR="00507361" w:rsidRPr="00E33FCA">
        <w:rPr>
          <w:sz w:val="22"/>
          <w:szCs w:val="22"/>
        </w:rPr>
        <w:t>patient safety and dignity and staff well-being</w:t>
      </w:r>
      <w:r w:rsidRPr="00A70BED">
        <w:rPr>
          <w:sz w:val="22"/>
          <w:szCs w:val="22"/>
        </w:rPr>
        <w:t>.</w:t>
      </w:r>
      <w:r w:rsidR="00614972" w:rsidRPr="00A70BED">
        <w:rPr>
          <w:sz w:val="22"/>
          <w:szCs w:val="22"/>
        </w:rPr>
        <w:t xml:space="preserve">  This is occurring in </w:t>
      </w:r>
      <w:r w:rsidR="0013066B">
        <w:rPr>
          <w:sz w:val="22"/>
          <w:szCs w:val="22"/>
        </w:rPr>
        <w:t>a</w:t>
      </w:r>
      <w:r w:rsidR="00614972" w:rsidRPr="00A70BED">
        <w:rPr>
          <w:sz w:val="22"/>
          <w:szCs w:val="22"/>
        </w:rPr>
        <w:t xml:space="preserve"> context in which land, apparently</w:t>
      </w:r>
      <w:r w:rsidR="0013066B">
        <w:rPr>
          <w:sz w:val="22"/>
          <w:szCs w:val="22"/>
        </w:rPr>
        <w:t xml:space="preserve"> considered</w:t>
      </w:r>
      <w:r w:rsidR="00614972" w:rsidRPr="00A70BED">
        <w:rPr>
          <w:sz w:val="22"/>
          <w:szCs w:val="22"/>
        </w:rPr>
        <w:t xml:space="preserve"> surplus to requirements, is being sold off.</w:t>
      </w:r>
    </w:p>
    <w:p w14:paraId="336926C9" w14:textId="77777777" w:rsidR="00B34DC6" w:rsidRPr="00A70BED" w:rsidRDefault="00B34DC6" w:rsidP="00507361">
      <w:pPr>
        <w:spacing w:line="360" w:lineRule="auto"/>
        <w:rPr>
          <w:sz w:val="22"/>
          <w:szCs w:val="22"/>
        </w:rPr>
      </w:pPr>
    </w:p>
    <w:p w14:paraId="6401AEE1" w14:textId="0DC13FB6" w:rsidR="00B34DC6" w:rsidRPr="00A70BED" w:rsidRDefault="007563AE" w:rsidP="00507361">
      <w:pPr>
        <w:pStyle w:val="ListParagraph"/>
        <w:numPr>
          <w:ilvl w:val="0"/>
          <w:numId w:val="35"/>
        </w:numPr>
        <w:spacing w:line="360" w:lineRule="auto"/>
        <w:ind w:firstLine="0"/>
        <w:rPr>
          <w:sz w:val="22"/>
          <w:szCs w:val="22"/>
        </w:rPr>
      </w:pPr>
      <w:r w:rsidRPr="00A70BED">
        <w:rPr>
          <w:sz w:val="22"/>
          <w:szCs w:val="22"/>
        </w:rPr>
        <w:t>The possible loss of staff due to the move has not been addressed in the full business case.</w:t>
      </w:r>
    </w:p>
    <w:p w14:paraId="2F9EE0FB" w14:textId="3BE9E313" w:rsidR="00B34DC6" w:rsidRPr="00A70BED" w:rsidRDefault="00B34DC6" w:rsidP="00507361">
      <w:pPr>
        <w:spacing w:line="360" w:lineRule="auto"/>
        <w:rPr>
          <w:sz w:val="22"/>
          <w:szCs w:val="22"/>
        </w:rPr>
      </w:pPr>
    </w:p>
    <w:p w14:paraId="1D3CF63B" w14:textId="5C06F3CB" w:rsidR="00B34DC6" w:rsidRPr="00A70BED" w:rsidRDefault="00B34DC6" w:rsidP="00507361">
      <w:pPr>
        <w:pStyle w:val="ListParagraph"/>
        <w:numPr>
          <w:ilvl w:val="0"/>
          <w:numId w:val="35"/>
        </w:numPr>
        <w:spacing w:line="360" w:lineRule="auto"/>
        <w:ind w:firstLine="0"/>
        <w:rPr>
          <w:sz w:val="22"/>
          <w:szCs w:val="22"/>
        </w:rPr>
      </w:pPr>
      <w:r w:rsidRPr="00A70BED">
        <w:rPr>
          <w:sz w:val="22"/>
          <w:szCs w:val="22"/>
        </w:rPr>
        <w:t xml:space="preserve">The full business case suggests that excess land at Glenfield Hospital and the Leicester General Hospital will be sold for housing development.  This has not been publicly </w:t>
      </w:r>
      <w:r w:rsidR="007563AE" w:rsidRPr="00A70BED">
        <w:rPr>
          <w:sz w:val="22"/>
          <w:szCs w:val="22"/>
        </w:rPr>
        <w:t xml:space="preserve">debated and there </w:t>
      </w:r>
      <w:r w:rsidRPr="00A70BED">
        <w:rPr>
          <w:sz w:val="22"/>
          <w:szCs w:val="22"/>
        </w:rPr>
        <w:t xml:space="preserve">are no </w:t>
      </w:r>
      <w:r w:rsidR="007563AE" w:rsidRPr="00A70BED">
        <w:rPr>
          <w:sz w:val="22"/>
          <w:szCs w:val="22"/>
        </w:rPr>
        <w:t>details</w:t>
      </w:r>
      <w:r w:rsidR="00892BBF" w:rsidRPr="00A70BED">
        <w:rPr>
          <w:sz w:val="22"/>
          <w:szCs w:val="22"/>
        </w:rPr>
        <w:t xml:space="preserve"> in the public domain</w:t>
      </w:r>
      <w:r w:rsidR="007563AE" w:rsidRPr="00A70BED">
        <w:rPr>
          <w:sz w:val="22"/>
          <w:szCs w:val="22"/>
        </w:rPr>
        <w:t xml:space="preserve"> of </w:t>
      </w:r>
      <w:r w:rsidRPr="00A70BED">
        <w:rPr>
          <w:sz w:val="22"/>
          <w:szCs w:val="22"/>
        </w:rPr>
        <w:t>overall estate plan</w:t>
      </w:r>
      <w:r w:rsidR="00892BBF" w:rsidRPr="00A70BED">
        <w:rPr>
          <w:sz w:val="22"/>
          <w:szCs w:val="22"/>
        </w:rPr>
        <w:t>ning</w:t>
      </w:r>
      <w:r w:rsidRPr="00A70BED">
        <w:rPr>
          <w:sz w:val="22"/>
          <w:szCs w:val="22"/>
        </w:rPr>
        <w:t xml:space="preserve"> or details about how land values have been determined.</w:t>
      </w:r>
    </w:p>
    <w:p w14:paraId="0ABDA6B4" w14:textId="77777777" w:rsidR="00614972" w:rsidRPr="00A70BED" w:rsidRDefault="00614972" w:rsidP="00507361">
      <w:pPr>
        <w:spacing w:line="360" w:lineRule="auto"/>
        <w:rPr>
          <w:sz w:val="22"/>
          <w:szCs w:val="22"/>
        </w:rPr>
      </w:pPr>
    </w:p>
    <w:p w14:paraId="70D52212" w14:textId="648718B6" w:rsidR="00B75B55" w:rsidRDefault="00614972" w:rsidP="00507361">
      <w:pPr>
        <w:pStyle w:val="ListParagraph"/>
        <w:numPr>
          <w:ilvl w:val="0"/>
          <w:numId w:val="35"/>
        </w:numPr>
        <w:spacing w:line="360" w:lineRule="auto"/>
        <w:ind w:firstLine="0"/>
        <w:rPr>
          <w:sz w:val="22"/>
          <w:szCs w:val="22"/>
        </w:rPr>
      </w:pPr>
      <w:r w:rsidRPr="00A70BED">
        <w:rPr>
          <w:sz w:val="22"/>
          <w:szCs w:val="22"/>
        </w:rPr>
        <w:t xml:space="preserve">We recommend that </w:t>
      </w:r>
      <w:r w:rsidR="00320BD6" w:rsidRPr="00A70BED">
        <w:rPr>
          <w:sz w:val="22"/>
          <w:szCs w:val="22"/>
        </w:rPr>
        <w:t>the proposals</w:t>
      </w:r>
      <w:r w:rsidR="002B47CC">
        <w:rPr>
          <w:sz w:val="22"/>
          <w:szCs w:val="22"/>
        </w:rPr>
        <w:t>, which include not only a major change in service delivery but also the sale of NHS land on a site where expansion is anticipated,</w:t>
      </w:r>
      <w:r w:rsidR="00320BD6" w:rsidRPr="00A70BED">
        <w:rPr>
          <w:sz w:val="22"/>
          <w:szCs w:val="22"/>
        </w:rPr>
        <w:t xml:space="preserve"> should be </w:t>
      </w:r>
      <w:r w:rsidR="00BC0E9F">
        <w:rPr>
          <w:sz w:val="22"/>
          <w:szCs w:val="22"/>
        </w:rPr>
        <w:t xml:space="preserve">discussed by the Joint </w:t>
      </w:r>
      <w:r w:rsidR="00DF57F2">
        <w:rPr>
          <w:sz w:val="22"/>
          <w:szCs w:val="22"/>
        </w:rPr>
        <w:t xml:space="preserve">Health Scrutiny body for Leicester, Leicestershire and Rutland and should be </w:t>
      </w:r>
      <w:r w:rsidR="00320BD6" w:rsidRPr="00A70BED">
        <w:rPr>
          <w:sz w:val="22"/>
          <w:szCs w:val="22"/>
        </w:rPr>
        <w:t>subject to full public consultation.</w:t>
      </w:r>
    </w:p>
    <w:p w14:paraId="4AECF71F" w14:textId="77777777" w:rsidR="00243946" w:rsidRPr="00243946" w:rsidRDefault="00243946" w:rsidP="00507361">
      <w:pPr>
        <w:pStyle w:val="ListParagraph"/>
        <w:spacing w:line="360" w:lineRule="auto"/>
        <w:rPr>
          <w:sz w:val="22"/>
          <w:szCs w:val="22"/>
        </w:rPr>
      </w:pPr>
    </w:p>
    <w:p w14:paraId="434BB85F" w14:textId="3D4C612A" w:rsidR="00243946" w:rsidRDefault="00243946" w:rsidP="00507361">
      <w:pPr>
        <w:spacing w:line="360" w:lineRule="auto"/>
        <w:rPr>
          <w:sz w:val="22"/>
          <w:szCs w:val="22"/>
        </w:rPr>
      </w:pPr>
      <w:r>
        <w:rPr>
          <w:sz w:val="22"/>
          <w:szCs w:val="22"/>
        </w:rPr>
        <w:br w:type="page"/>
      </w:r>
    </w:p>
    <w:p w14:paraId="58DD2207" w14:textId="414436AB" w:rsidR="005300F1" w:rsidRPr="00A70BED" w:rsidRDefault="00320BD6" w:rsidP="00507361">
      <w:pPr>
        <w:spacing w:line="360" w:lineRule="auto"/>
        <w:rPr>
          <w:b/>
          <w:sz w:val="22"/>
          <w:szCs w:val="22"/>
        </w:rPr>
      </w:pPr>
      <w:r w:rsidRPr="00A70BED">
        <w:rPr>
          <w:b/>
          <w:sz w:val="22"/>
          <w:szCs w:val="22"/>
        </w:rPr>
        <w:lastRenderedPageBreak/>
        <w:t>1.</w:t>
      </w:r>
      <w:r w:rsidR="00AC0936" w:rsidRPr="00A70BED">
        <w:rPr>
          <w:b/>
          <w:sz w:val="22"/>
          <w:szCs w:val="22"/>
        </w:rPr>
        <w:t>Introduction</w:t>
      </w:r>
    </w:p>
    <w:p w14:paraId="1EA48953" w14:textId="77777777" w:rsidR="00AC0936" w:rsidRPr="00A70BED" w:rsidRDefault="00AC0936" w:rsidP="00507361">
      <w:pPr>
        <w:spacing w:line="360" w:lineRule="auto"/>
        <w:rPr>
          <w:b/>
          <w:sz w:val="22"/>
          <w:szCs w:val="22"/>
        </w:rPr>
      </w:pPr>
    </w:p>
    <w:p w14:paraId="5E48E7F3" w14:textId="4318AB29" w:rsidR="00F72501" w:rsidRPr="00A70BED" w:rsidRDefault="00BB0E74" w:rsidP="00507361">
      <w:pPr>
        <w:pStyle w:val="ListParagraph"/>
        <w:spacing w:line="360" w:lineRule="auto"/>
        <w:ind w:left="0"/>
        <w:rPr>
          <w:sz w:val="22"/>
          <w:szCs w:val="22"/>
        </w:rPr>
      </w:pPr>
      <w:r w:rsidRPr="00A70BED">
        <w:rPr>
          <w:sz w:val="22"/>
          <w:szCs w:val="22"/>
        </w:rPr>
        <w:t xml:space="preserve">The University Hospitals of Leicester </w:t>
      </w:r>
      <w:r w:rsidR="0013066B">
        <w:rPr>
          <w:sz w:val="22"/>
          <w:szCs w:val="22"/>
        </w:rPr>
        <w:t xml:space="preserve">NHS </w:t>
      </w:r>
      <w:r w:rsidRPr="00A70BED">
        <w:rPr>
          <w:sz w:val="22"/>
          <w:szCs w:val="22"/>
        </w:rPr>
        <w:t>Trust (UHL) ha</w:t>
      </w:r>
      <w:r w:rsidR="00B75B55">
        <w:rPr>
          <w:sz w:val="22"/>
          <w:szCs w:val="22"/>
        </w:rPr>
        <w:t>s</w:t>
      </w:r>
      <w:r w:rsidRPr="00A70BED">
        <w:rPr>
          <w:sz w:val="22"/>
          <w:szCs w:val="22"/>
        </w:rPr>
        <w:t xml:space="preserve"> long held </w:t>
      </w:r>
      <w:r w:rsidR="00DE64D2" w:rsidRPr="00A70BED">
        <w:rPr>
          <w:sz w:val="22"/>
          <w:szCs w:val="22"/>
        </w:rPr>
        <w:t>the</w:t>
      </w:r>
      <w:r w:rsidRPr="00A70BED">
        <w:rPr>
          <w:sz w:val="22"/>
          <w:szCs w:val="22"/>
        </w:rPr>
        <w:t xml:space="preserve"> ambition to reconfigure </w:t>
      </w:r>
      <w:r w:rsidR="00DE64D2" w:rsidRPr="00A70BED">
        <w:rPr>
          <w:sz w:val="22"/>
          <w:szCs w:val="22"/>
        </w:rPr>
        <w:t>its</w:t>
      </w:r>
      <w:r w:rsidRPr="00A70BED">
        <w:rPr>
          <w:sz w:val="22"/>
          <w:szCs w:val="22"/>
        </w:rPr>
        <w:t xml:space="preserve"> three acute hospitals</w:t>
      </w:r>
      <w:r w:rsidR="00DE64D2" w:rsidRPr="00A70BED">
        <w:rPr>
          <w:sz w:val="22"/>
          <w:szCs w:val="22"/>
        </w:rPr>
        <w:t>,</w:t>
      </w:r>
      <w:r w:rsidRPr="00A70BED">
        <w:rPr>
          <w:sz w:val="22"/>
          <w:szCs w:val="22"/>
        </w:rPr>
        <w:t xml:space="preserve"> Leicester Royal Infirmary (LRI), Glenfield Hospital (GH) and Leicester General Hospital (LGH) into two acute hospitals. </w:t>
      </w:r>
      <w:r w:rsidR="002344A6" w:rsidRPr="00A70BED">
        <w:rPr>
          <w:sz w:val="22"/>
          <w:szCs w:val="22"/>
        </w:rPr>
        <w:t xml:space="preserve"> </w:t>
      </w:r>
      <w:r w:rsidRPr="00A70BED">
        <w:rPr>
          <w:sz w:val="22"/>
          <w:szCs w:val="22"/>
        </w:rPr>
        <w:t>The two remaining acute hospitals would be LRI and GH with LGH remaining, possibly, as a community hub</w:t>
      </w:r>
      <w:r w:rsidR="009A43A6" w:rsidRPr="00A70BED">
        <w:rPr>
          <w:sz w:val="22"/>
          <w:szCs w:val="22"/>
        </w:rPr>
        <w:t xml:space="preserve">, a midwife-led maternity unit </w:t>
      </w:r>
      <w:r w:rsidRPr="00A70BED">
        <w:rPr>
          <w:sz w:val="22"/>
          <w:szCs w:val="22"/>
        </w:rPr>
        <w:t>and a Diabetes Centre of Excellence</w:t>
      </w:r>
      <w:r w:rsidR="00A7383B" w:rsidRPr="00A70BED">
        <w:rPr>
          <w:sz w:val="22"/>
          <w:szCs w:val="22"/>
        </w:rPr>
        <w:t xml:space="preserve">. </w:t>
      </w:r>
      <w:r w:rsidRPr="00A70BED">
        <w:rPr>
          <w:sz w:val="22"/>
          <w:szCs w:val="22"/>
        </w:rPr>
        <w:t xml:space="preserve"> </w:t>
      </w:r>
      <w:r w:rsidR="0013066B">
        <w:rPr>
          <w:sz w:val="22"/>
          <w:szCs w:val="22"/>
        </w:rPr>
        <w:t>L</w:t>
      </w:r>
      <w:r w:rsidRPr="00A70BED">
        <w:rPr>
          <w:sz w:val="22"/>
          <w:szCs w:val="22"/>
        </w:rPr>
        <w:t xml:space="preserve">and </w:t>
      </w:r>
      <w:r w:rsidR="00A7383B" w:rsidRPr="00A70BED">
        <w:rPr>
          <w:sz w:val="22"/>
          <w:szCs w:val="22"/>
        </w:rPr>
        <w:t xml:space="preserve">at LGH and GH </w:t>
      </w:r>
      <w:r w:rsidR="0013066B">
        <w:rPr>
          <w:sz w:val="22"/>
          <w:szCs w:val="22"/>
        </w:rPr>
        <w:t xml:space="preserve">considered excess to requirements </w:t>
      </w:r>
      <w:r w:rsidR="00A7383B" w:rsidRPr="00A70BED">
        <w:rPr>
          <w:sz w:val="22"/>
          <w:szCs w:val="22"/>
        </w:rPr>
        <w:t>will be sold</w:t>
      </w:r>
      <w:r w:rsidRPr="00A70BED">
        <w:rPr>
          <w:sz w:val="22"/>
          <w:szCs w:val="22"/>
        </w:rPr>
        <w:t xml:space="preserve"> for housing development</w:t>
      </w:r>
      <w:r w:rsidR="00A7383B" w:rsidRPr="00A70BED">
        <w:rPr>
          <w:sz w:val="22"/>
          <w:szCs w:val="22"/>
        </w:rPr>
        <w:t xml:space="preserve"> and</w:t>
      </w:r>
      <w:r w:rsidR="00B75B55">
        <w:rPr>
          <w:sz w:val="22"/>
          <w:szCs w:val="22"/>
        </w:rPr>
        <w:t xml:space="preserve"> the proceeds</w:t>
      </w:r>
      <w:r w:rsidR="00A7383B" w:rsidRPr="00A70BED">
        <w:rPr>
          <w:sz w:val="22"/>
          <w:szCs w:val="22"/>
        </w:rPr>
        <w:t xml:space="preserve"> used to reduce debt</w:t>
      </w:r>
      <w:r w:rsidRPr="00A70BED">
        <w:rPr>
          <w:sz w:val="22"/>
          <w:szCs w:val="22"/>
        </w:rPr>
        <w:t xml:space="preserve">.  </w:t>
      </w:r>
    </w:p>
    <w:p w14:paraId="01CB6190" w14:textId="77777777" w:rsidR="00F72501" w:rsidRPr="00A70BED" w:rsidRDefault="00F72501" w:rsidP="00507361">
      <w:pPr>
        <w:pStyle w:val="ListParagraph"/>
        <w:spacing w:line="360" w:lineRule="auto"/>
        <w:ind w:left="0"/>
        <w:rPr>
          <w:sz w:val="22"/>
          <w:szCs w:val="22"/>
        </w:rPr>
      </w:pPr>
    </w:p>
    <w:p w14:paraId="32E8E4FE" w14:textId="68D6DF62" w:rsidR="002C0309" w:rsidRPr="00A70BED" w:rsidRDefault="00DE64D2" w:rsidP="00507361">
      <w:pPr>
        <w:pStyle w:val="ListParagraph"/>
        <w:spacing w:line="360" w:lineRule="auto"/>
        <w:ind w:left="0"/>
        <w:rPr>
          <w:sz w:val="22"/>
          <w:szCs w:val="22"/>
        </w:rPr>
      </w:pPr>
      <w:r w:rsidRPr="00A70BED">
        <w:rPr>
          <w:sz w:val="22"/>
          <w:szCs w:val="22"/>
        </w:rPr>
        <w:t>As part of this reconfiguration and according to the</w:t>
      </w:r>
      <w:r w:rsidR="00F62D70" w:rsidRPr="00A70BED">
        <w:rPr>
          <w:sz w:val="22"/>
          <w:szCs w:val="22"/>
        </w:rPr>
        <w:t xml:space="preserve"> </w:t>
      </w:r>
      <w:r w:rsidR="00225E55" w:rsidRPr="00A70BED">
        <w:rPr>
          <w:sz w:val="22"/>
          <w:szCs w:val="22"/>
        </w:rPr>
        <w:t>F</w:t>
      </w:r>
      <w:r w:rsidR="0000265C" w:rsidRPr="00A70BED">
        <w:rPr>
          <w:sz w:val="22"/>
          <w:szCs w:val="22"/>
        </w:rPr>
        <w:t xml:space="preserve">ull </w:t>
      </w:r>
      <w:r w:rsidR="00225E55" w:rsidRPr="00A70BED">
        <w:rPr>
          <w:sz w:val="22"/>
          <w:szCs w:val="22"/>
        </w:rPr>
        <w:t>B</w:t>
      </w:r>
      <w:r w:rsidR="0000265C" w:rsidRPr="00A70BED">
        <w:rPr>
          <w:sz w:val="22"/>
          <w:szCs w:val="22"/>
        </w:rPr>
        <w:t xml:space="preserve">usiness </w:t>
      </w:r>
      <w:r w:rsidR="00225E55" w:rsidRPr="00A70BED">
        <w:rPr>
          <w:sz w:val="22"/>
          <w:szCs w:val="22"/>
        </w:rPr>
        <w:t>C</w:t>
      </w:r>
      <w:r w:rsidR="0000265C" w:rsidRPr="00A70BED">
        <w:rPr>
          <w:sz w:val="22"/>
          <w:szCs w:val="22"/>
        </w:rPr>
        <w:t>ase (FBC)</w:t>
      </w:r>
      <w:r w:rsidR="00507361">
        <w:rPr>
          <w:rStyle w:val="FootnoteReference"/>
          <w:sz w:val="22"/>
          <w:szCs w:val="22"/>
        </w:rPr>
        <w:footnoteReference w:id="2"/>
      </w:r>
      <w:r w:rsidR="009F231C" w:rsidRPr="00A70BED">
        <w:rPr>
          <w:sz w:val="22"/>
          <w:szCs w:val="22"/>
        </w:rPr>
        <w:t>,</w:t>
      </w:r>
      <w:r w:rsidRPr="00A70BED">
        <w:rPr>
          <w:sz w:val="22"/>
          <w:szCs w:val="22"/>
        </w:rPr>
        <w:t xml:space="preserve"> </w:t>
      </w:r>
      <w:r w:rsidR="009F231C" w:rsidRPr="00A70BED">
        <w:rPr>
          <w:sz w:val="22"/>
          <w:szCs w:val="22"/>
        </w:rPr>
        <w:t>made public shortly before the July 2018 meeting of UHL’s Governing Bo</w:t>
      </w:r>
      <w:r w:rsidR="00B75B55">
        <w:rPr>
          <w:sz w:val="22"/>
          <w:szCs w:val="22"/>
        </w:rPr>
        <w:t>ard</w:t>
      </w:r>
      <w:r w:rsidR="00BB0E74" w:rsidRPr="00A70BED">
        <w:rPr>
          <w:sz w:val="22"/>
          <w:szCs w:val="22"/>
        </w:rPr>
        <w:t xml:space="preserve">, this </w:t>
      </w:r>
      <w:r w:rsidR="006045D0" w:rsidRPr="00A70BED">
        <w:rPr>
          <w:sz w:val="22"/>
          <w:szCs w:val="22"/>
        </w:rPr>
        <w:t>relocation of intensive care services</w:t>
      </w:r>
      <w:r w:rsidR="00BB0E74" w:rsidRPr="00A70BED">
        <w:rPr>
          <w:sz w:val="22"/>
          <w:szCs w:val="22"/>
        </w:rPr>
        <w:t xml:space="preserve"> is </w:t>
      </w:r>
      <w:r w:rsidR="00225E55" w:rsidRPr="00A70BED">
        <w:rPr>
          <w:sz w:val="22"/>
          <w:szCs w:val="22"/>
        </w:rPr>
        <w:t xml:space="preserve">driven by the </w:t>
      </w:r>
      <w:r w:rsidR="00597337" w:rsidRPr="00A70BED">
        <w:rPr>
          <w:sz w:val="22"/>
          <w:szCs w:val="22"/>
        </w:rPr>
        <w:t xml:space="preserve">stated </w:t>
      </w:r>
      <w:r w:rsidR="00225E55" w:rsidRPr="00A70BED">
        <w:rPr>
          <w:sz w:val="22"/>
          <w:szCs w:val="22"/>
        </w:rPr>
        <w:t>inappropriateness of</w:t>
      </w:r>
      <w:r w:rsidR="00BB0E74" w:rsidRPr="00A70BED">
        <w:rPr>
          <w:sz w:val="22"/>
          <w:szCs w:val="22"/>
        </w:rPr>
        <w:t xml:space="preserve"> having</w:t>
      </w:r>
      <w:r w:rsidR="00225E55" w:rsidRPr="00A70BED">
        <w:rPr>
          <w:sz w:val="22"/>
          <w:szCs w:val="22"/>
        </w:rPr>
        <w:t xml:space="preserve"> </w:t>
      </w:r>
      <w:r w:rsidR="00B75B55">
        <w:rPr>
          <w:sz w:val="22"/>
          <w:szCs w:val="22"/>
        </w:rPr>
        <w:t>one</w:t>
      </w:r>
      <w:r w:rsidR="00225E55" w:rsidRPr="00A70BED">
        <w:rPr>
          <w:sz w:val="22"/>
          <w:szCs w:val="22"/>
        </w:rPr>
        <w:t xml:space="preserve"> </w:t>
      </w:r>
      <w:r w:rsidR="0000265C" w:rsidRPr="00A70BED">
        <w:rPr>
          <w:sz w:val="22"/>
          <w:szCs w:val="22"/>
        </w:rPr>
        <w:t>Intensive Care Unit (ICU)</w:t>
      </w:r>
      <w:r w:rsidR="00225E55" w:rsidRPr="00A70BED">
        <w:rPr>
          <w:sz w:val="22"/>
          <w:szCs w:val="22"/>
        </w:rPr>
        <w:t xml:space="preserve"> </w:t>
      </w:r>
      <w:r w:rsidR="00B75B55">
        <w:rPr>
          <w:sz w:val="22"/>
          <w:szCs w:val="22"/>
        </w:rPr>
        <w:t>in each of the three</w:t>
      </w:r>
      <w:r w:rsidR="00225E55" w:rsidRPr="00A70BED">
        <w:rPr>
          <w:sz w:val="22"/>
          <w:szCs w:val="22"/>
        </w:rPr>
        <w:t xml:space="preserve"> UHL hospital sites</w:t>
      </w:r>
      <w:r w:rsidR="006045D0" w:rsidRPr="00A70BED">
        <w:rPr>
          <w:sz w:val="22"/>
          <w:szCs w:val="22"/>
        </w:rPr>
        <w:t>.</w:t>
      </w:r>
      <w:r w:rsidR="00164AE2" w:rsidRPr="00A70BED">
        <w:rPr>
          <w:sz w:val="22"/>
          <w:szCs w:val="22"/>
        </w:rPr>
        <w:t xml:space="preserve">  This situation has resulted in over</w:t>
      </w:r>
      <w:r w:rsidR="0013066B">
        <w:rPr>
          <w:sz w:val="22"/>
          <w:szCs w:val="22"/>
        </w:rPr>
        <w:t>-</w:t>
      </w:r>
      <w:r w:rsidR="00164AE2" w:rsidRPr="00A70BED">
        <w:rPr>
          <w:sz w:val="22"/>
          <w:szCs w:val="22"/>
        </w:rPr>
        <w:t xml:space="preserve">capacity at LGH </w:t>
      </w:r>
      <w:r w:rsidR="00AB3DF6">
        <w:rPr>
          <w:sz w:val="22"/>
          <w:szCs w:val="22"/>
        </w:rPr>
        <w:t xml:space="preserve">ICU </w:t>
      </w:r>
      <w:r w:rsidR="00164AE2" w:rsidRPr="00A70BED">
        <w:rPr>
          <w:sz w:val="22"/>
          <w:szCs w:val="22"/>
        </w:rPr>
        <w:t>and under</w:t>
      </w:r>
      <w:r w:rsidR="0013066B">
        <w:rPr>
          <w:sz w:val="22"/>
          <w:szCs w:val="22"/>
        </w:rPr>
        <w:t>-</w:t>
      </w:r>
      <w:r w:rsidR="00164AE2" w:rsidRPr="00A70BED">
        <w:rPr>
          <w:sz w:val="22"/>
          <w:szCs w:val="22"/>
        </w:rPr>
        <w:t>capacity at LRI and GH</w:t>
      </w:r>
      <w:r w:rsidR="00F864ED">
        <w:rPr>
          <w:sz w:val="22"/>
          <w:szCs w:val="22"/>
        </w:rPr>
        <w:t xml:space="preserve"> ICUs</w:t>
      </w:r>
      <w:r w:rsidR="00164AE2" w:rsidRPr="00A70BED">
        <w:rPr>
          <w:sz w:val="22"/>
          <w:szCs w:val="22"/>
        </w:rPr>
        <w:t>.</w:t>
      </w:r>
      <w:r w:rsidR="006045D0" w:rsidRPr="00A70BED">
        <w:rPr>
          <w:sz w:val="22"/>
          <w:szCs w:val="22"/>
        </w:rPr>
        <w:t xml:space="preserve"> </w:t>
      </w:r>
      <w:r w:rsidR="00164AE2" w:rsidRPr="00A70BED">
        <w:rPr>
          <w:sz w:val="22"/>
          <w:szCs w:val="22"/>
        </w:rPr>
        <w:t xml:space="preserve"> F</w:t>
      </w:r>
      <w:r w:rsidR="00F62D70" w:rsidRPr="00A70BED">
        <w:rPr>
          <w:sz w:val="22"/>
          <w:szCs w:val="22"/>
        </w:rPr>
        <w:t>urther complicat</w:t>
      </w:r>
      <w:r w:rsidR="00164AE2" w:rsidRPr="00A70BED">
        <w:rPr>
          <w:sz w:val="22"/>
          <w:szCs w:val="22"/>
        </w:rPr>
        <w:t>ions arise from</w:t>
      </w:r>
      <w:r w:rsidR="00F62D70" w:rsidRPr="00A70BED">
        <w:rPr>
          <w:sz w:val="22"/>
          <w:szCs w:val="22"/>
        </w:rPr>
        <w:t xml:space="preserve"> </w:t>
      </w:r>
      <w:r w:rsidR="006045D0" w:rsidRPr="00A70BED">
        <w:rPr>
          <w:sz w:val="22"/>
          <w:szCs w:val="22"/>
        </w:rPr>
        <w:t xml:space="preserve">UHL’s stated </w:t>
      </w:r>
      <w:r w:rsidR="004E68D6" w:rsidRPr="00A70BED">
        <w:rPr>
          <w:sz w:val="22"/>
          <w:szCs w:val="22"/>
        </w:rPr>
        <w:t xml:space="preserve">staffing </w:t>
      </w:r>
      <w:r w:rsidR="00F62D70" w:rsidRPr="00A70BED">
        <w:rPr>
          <w:sz w:val="22"/>
          <w:szCs w:val="22"/>
        </w:rPr>
        <w:t>difficulties since</w:t>
      </w:r>
      <w:r w:rsidR="00B75B55">
        <w:rPr>
          <w:sz w:val="22"/>
          <w:szCs w:val="22"/>
        </w:rPr>
        <w:t xml:space="preserve"> LGH ICU</w:t>
      </w:r>
      <w:r w:rsidR="00F62D70" w:rsidRPr="00A70BED">
        <w:rPr>
          <w:sz w:val="22"/>
          <w:szCs w:val="22"/>
        </w:rPr>
        <w:t xml:space="preserve"> lost its </w:t>
      </w:r>
      <w:r w:rsidR="00164AE2" w:rsidRPr="00A70BED">
        <w:rPr>
          <w:sz w:val="22"/>
          <w:szCs w:val="22"/>
        </w:rPr>
        <w:t xml:space="preserve">intensive care </w:t>
      </w:r>
      <w:r w:rsidR="00F62D70" w:rsidRPr="00A70BED">
        <w:rPr>
          <w:sz w:val="22"/>
          <w:szCs w:val="22"/>
        </w:rPr>
        <w:t>teaching status</w:t>
      </w:r>
      <w:r w:rsidR="00225E55" w:rsidRPr="00A70BED">
        <w:rPr>
          <w:sz w:val="22"/>
          <w:szCs w:val="22"/>
        </w:rPr>
        <w:t xml:space="preserve">.  Moving </w:t>
      </w:r>
      <w:r w:rsidRPr="00E33FCA">
        <w:rPr>
          <w:sz w:val="22"/>
          <w:szCs w:val="22"/>
        </w:rPr>
        <w:t>all</w:t>
      </w:r>
      <w:r w:rsidR="007243AA" w:rsidRPr="00E33FCA">
        <w:rPr>
          <w:sz w:val="22"/>
          <w:szCs w:val="22"/>
        </w:rPr>
        <w:t xml:space="preserve"> but one</w:t>
      </w:r>
      <w:r w:rsidRPr="00E33FCA">
        <w:rPr>
          <w:sz w:val="22"/>
          <w:szCs w:val="22"/>
        </w:rPr>
        <w:t xml:space="preserve"> </w:t>
      </w:r>
      <w:r w:rsidR="00243946" w:rsidRPr="00A70BED">
        <w:rPr>
          <w:sz w:val="22"/>
          <w:szCs w:val="22"/>
        </w:rPr>
        <w:t xml:space="preserve">level 3 beds </w:t>
      </w:r>
      <w:r w:rsidR="00225E55" w:rsidRPr="00A70BED">
        <w:rPr>
          <w:sz w:val="22"/>
          <w:szCs w:val="22"/>
        </w:rPr>
        <w:t>away from</w:t>
      </w:r>
      <w:r w:rsidR="00F62D70" w:rsidRPr="00A70BED">
        <w:rPr>
          <w:sz w:val="22"/>
          <w:szCs w:val="22"/>
        </w:rPr>
        <w:t xml:space="preserve"> LGH</w:t>
      </w:r>
      <w:r w:rsidR="00225E55" w:rsidRPr="00A70BED">
        <w:rPr>
          <w:sz w:val="22"/>
          <w:szCs w:val="22"/>
        </w:rPr>
        <w:t xml:space="preserve"> I</w:t>
      </w:r>
      <w:r w:rsidR="0000265C" w:rsidRPr="00A70BED">
        <w:rPr>
          <w:sz w:val="22"/>
          <w:szCs w:val="22"/>
        </w:rPr>
        <w:t>C</w:t>
      </w:r>
      <w:r w:rsidR="00225E55" w:rsidRPr="00A70BED">
        <w:rPr>
          <w:sz w:val="22"/>
          <w:szCs w:val="22"/>
        </w:rPr>
        <w:t xml:space="preserve">U means that services </w:t>
      </w:r>
      <w:r w:rsidR="00597337" w:rsidRPr="00A70BED">
        <w:rPr>
          <w:sz w:val="22"/>
          <w:szCs w:val="22"/>
        </w:rPr>
        <w:t>requiring, according to national policy,</w:t>
      </w:r>
      <w:r w:rsidR="00225E55" w:rsidRPr="00A70BED">
        <w:rPr>
          <w:sz w:val="22"/>
          <w:szCs w:val="22"/>
        </w:rPr>
        <w:t xml:space="preserve"> </w:t>
      </w:r>
      <w:r w:rsidR="00B75B55">
        <w:rPr>
          <w:sz w:val="22"/>
          <w:szCs w:val="22"/>
        </w:rPr>
        <w:t xml:space="preserve">co-located </w:t>
      </w:r>
      <w:r w:rsidR="00225E55" w:rsidRPr="00A70BED">
        <w:rPr>
          <w:sz w:val="22"/>
          <w:szCs w:val="22"/>
        </w:rPr>
        <w:t>level 3 I</w:t>
      </w:r>
      <w:r w:rsidR="000A61C5" w:rsidRPr="00A70BED">
        <w:rPr>
          <w:sz w:val="22"/>
          <w:szCs w:val="22"/>
        </w:rPr>
        <w:t>C</w:t>
      </w:r>
      <w:r w:rsidR="00225E55" w:rsidRPr="00A70BED">
        <w:rPr>
          <w:sz w:val="22"/>
          <w:szCs w:val="22"/>
        </w:rPr>
        <w:t xml:space="preserve">U must also </w:t>
      </w:r>
      <w:r w:rsidR="00597337" w:rsidRPr="00A70BED">
        <w:rPr>
          <w:sz w:val="22"/>
          <w:szCs w:val="22"/>
        </w:rPr>
        <w:t xml:space="preserve">be </w:t>
      </w:r>
      <w:r w:rsidR="00B75B55">
        <w:rPr>
          <w:sz w:val="22"/>
          <w:szCs w:val="22"/>
        </w:rPr>
        <w:t>moved</w:t>
      </w:r>
      <w:r w:rsidR="00225E55" w:rsidRPr="00A70BED">
        <w:rPr>
          <w:sz w:val="22"/>
          <w:szCs w:val="22"/>
        </w:rPr>
        <w:t>.</w:t>
      </w:r>
      <w:r w:rsidR="00A7383B" w:rsidRPr="00A70BED">
        <w:rPr>
          <w:sz w:val="22"/>
          <w:szCs w:val="22"/>
        </w:rPr>
        <w:t xml:space="preserve"> </w:t>
      </w:r>
      <w:r w:rsidR="004E68D6" w:rsidRPr="00A70BED">
        <w:rPr>
          <w:sz w:val="22"/>
          <w:szCs w:val="22"/>
        </w:rPr>
        <w:t xml:space="preserve"> </w:t>
      </w:r>
      <w:r w:rsidR="009A43A6" w:rsidRPr="00A70BED">
        <w:rPr>
          <w:sz w:val="22"/>
          <w:szCs w:val="22"/>
        </w:rPr>
        <w:t>Therefore</w:t>
      </w:r>
      <w:r w:rsidR="00225E55" w:rsidRPr="00A70BED">
        <w:rPr>
          <w:sz w:val="22"/>
          <w:szCs w:val="22"/>
        </w:rPr>
        <w:t xml:space="preserve"> </w:t>
      </w:r>
      <w:r w:rsidR="00597337" w:rsidRPr="00A70BED">
        <w:rPr>
          <w:sz w:val="22"/>
          <w:szCs w:val="22"/>
        </w:rPr>
        <w:t xml:space="preserve">the </w:t>
      </w:r>
      <w:r w:rsidR="00225E55" w:rsidRPr="00A70BED">
        <w:rPr>
          <w:sz w:val="22"/>
          <w:szCs w:val="22"/>
        </w:rPr>
        <w:t>renal transplant</w:t>
      </w:r>
      <w:r w:rsidR="00597337" w:rsidRPr="00A70BED">
        <w:rPr>
          <w:sz w:val="22"/>
          <w:szCs w:val="22"/>
        </w:rPr>
        <w:t xml:space="preserve"> ward</w:t>
      </w:r>
      <w:r w:rsidR="008D3AFE" w:rsidRPr="00A70BED">
        <w:rPr>
          <w:sz w:val="22"/>
          <w:szCs w:val="22"/>
        </w:rPr>
        <w:t xml:space="preserve"> (RT)</w:t>
      </w:r>
      <w:r w:rsidR="00597337" w:rsidRPr="00A70BED">
        <w:rPr>
          <w:sz w:val="22"/>
          <w:szCs w:val="22"/>
        </w:rPr>
        <w:t>,</w:t>
      </w:r>
      <w:r w:rsidR="00225E55" w:rsidRPr="00A70BED">
        <w:rPr>
          <w:sz w:val="22"/>
          <w:szCs w:val="22"/>
        </w:rPr>
        <w:t xml:space="preserve"> hepato-pancreato-biliary</w:t>
      </w:r>
      <w:r w:rsidR="008D3AFE" w:rsidRPr="00A70BED">
        <w:rPr>
          <w:sz w:val="22"/>
          <w:szCs w:val="22"/>
        </w:rPr>
        <w:t xml:space="preserve"> (HPB)</w:t>
      </w:r>
      <w:r w:rsidR="009A43A6" w:rsidRPr="00A70BED">
        <w:rPr>
          <w:sz w:val="22"/>
          <w:szCs w:val="22"/>
        </w:rPr>
        <w:t xml:space="preserve"> inpatients</w:t>
      </w:r>
      <w:r w:rsidR="00AB3DF6">
        <w:rPr>
          <w:sz w:val="22"/>
          <w:szCs w:val="22"/>
        </w:rPr>
        <w:t xml:space="preserve"> and urology high risk patients</w:t>
      </w:r>
      <w:r w:rsidR="00597337" w:rsidRPr="00A70BED">
        <w:rPr>
          <w:sz w:val="22"/>
          <w:szCs w:val="22"/>
        </w:rPr>
        <w:t xml:space="preserve"> </w:t>
      </w:r>
      <w:r w:rsidR="000756F0" w:rsidRPr="00A70BED">
        <w:rPr>
          <w:sz w:val="22"/>
          <w:szCs w:val="22"/>
        </w:rPr>
        <w:t xml:space="preserve">are planned </w:t>
      </w:r>
      <w:r w:rsidR="004E68D6" w:rsidRPr="00A70BED">
        <w:rPr>
          <w:sz w:val="22"/>
          <w:szCs w:val="22"/>
        </w:rPr>
        <w:t>to move to</w:t>
      </w:r>
      <w:r w:rsidR="003F6EA3" w:rsidRPr="00A70BED">
        <w:rPr>
          <w:sz w:val="22"/>
          <w:szCs w:val="22"/>
        </w:rPr>
        <w:t xml:space="preserve"> three new-build wards</w:t>
      </w:r>
      <w:r w:rsidR="00164AE2" w:rsidRPr="00A70BED">
        <w:rPr>
          <w:sz w:val="22"/>
          <w:szCs w:val="22"/>
        </w:rPr>
        <w:t xml:space="preserve"> at</w:t>
      </w:r>
      <w:r w:rsidR="00597337" w:rsidRPr="00A70BED">
        <w:rPr>
          <w:sz w:val="22"/>
          <w:szCs w:val="22"/>
        </w:rPr>
        <w:t xml:space="preserve"> Glenfield Hospital</w:t>
      </w:r>
      <w:r w:rsidR="008D3AFE" w:rsidRPr="00A70BED">
        <w:rPr>
          <w:sz w:val="22"/>
          <w:szCs w:val="22"/>
        </w:rPr>
        <w:t xml:space="preserve"> (GH)</w:t>
      </w:r>
      <w:r w:rsidR="00A7383B" w:rsidRPr="00A70BED">
        <w:rPr>
          <w:sz w:val="22"/>
          <w:szCs w:val="22"/>
        </w:rPr>
        <w:t xml:space="preserve">.  </w:t>
      </w:r>
      <w:r w:rsidR="003F6EA3" w:rsidRPr="00A70BED">
        <w:rPr>
          <w:sz w:val="22"/>
          <w:szCs w:val="22"/>
        </w:rPr>
        <w:t>A new interventional radiology facility will also be built at GH</w:t>
      </w:r>
      <w:r w:rsidR="00A7383B" w:rsidRPr="00A70BED">
        <w:rPr>
          <w:sz w:val="22"/>
          <w:szCs w:val="22"/>
        </w:rPr>
        <w:t xml:space="preserve">. </w:t>
      </w:r>
      <w:r w:rsidR="00AB3DF6">
        <w:rPr>
          <w:sz w:val="22"/>
          <w:szCs w:val="22"/>
        </w:rPr>
        <w:t xml:space="preserve">The new building will be </w:t>
      </w:r>
      <w:r w:rsidR="00B75B55">
        <w:rPr>
          <w:sz w:val="22"/>
          <w:szCs w:val="22"/>
        </w:rPr>
        <w:t xml:space="preserve">sited </w:t>
      </w:r>
      <w:r w:rsidR="00AB3DF6">
        <w:rPr>
          <w:sz w:val="22"/>
          <w:szCs w:val="22"/>
        </w:rPr>
        <w:t xml:space="preserve">on top of existing wards. </w:t>
      </w:r>
      <w:r w:rsidR="00A7383B" w:rsidRPr="00A70BED">
        <w:rPr>
          <w:sz w:val="22"/>
          <w:szCs w:val="22"/>
        </w:rPr>
        <w:t xml:space="preserve"> </w:t>
      </w:r>
      <w:r w:rsidR="007243AA" w:rsidRPr="00E33FCA">
        <w:rPr>
          <w:sz w:val="22"/>
          <w:szCs w:val="22"/>
        </w:rPr>
        <w:t xml:space="preserve">The remaining </w:t>
      </w:r>
      <w:r w:rsidR="007243AA">
        <w:rPr>
          <w:sz w:val="22"/>
          <w:szCs w:val="22"/>
        </w:rPr>
        <w:t>o</w:t>
      </w:r>
      <w:r w:rsidR="002C0309" w:rsidRPr="00A70BED">
        <w:rPr>
          <w:sz w:val="22"/>
          <w:szCs w:val="22"/>
        </w:rPr>
        <w:t>ne</w:t>
      </w:r>
      <w:r w:rsidR="00B75B55">
        <w:rPr>
          <w:sz w:val="22"/>
          <w:szCs w:val="22"/>
        </w:rPr>
        <w:t xml:space="preserve"> ICU</w:t>
      </w:r>
      <w:r w:rsidR="002C0309" w:rsidRPr="00A70BED">
        <w:rPr>
          <w:sz w:val="22"/>
          <w:szCs w:val="22"/>
        </w:rPr>
        <w:t xml:space="preserve"> level </w:t>
      </w:r>
      <w:r w:rsidR="00322AAD" w:rsidRPr="00A70BED">
        <w:rPr>
          <w:sz w:val="22"/>
          <w:szCs w:val="22"/>
        </w:rPr>
        <w:t>3</w:t>
      </w:r>
      <w:r w:rsidR="002C0309" w:rsidRPr="00A70BED">
        <w:rPr>
          <w:sz w:val="22"/>
          <w:szCs w:val="22"/>
        </w:rPr>
        <w:t xml:space="preserve"> bed at LGH </w:t>
      </w:r>
      <w:r w:rsidR="007243AA" w:rsidRPr="00E33FCA">
        <w:rPr>
          <w:sz w:val="22"/>
          <w:szCs w:val="22"/>
        </w:rPr>
        <w:t xml:space="preserve">will be </w:t>
      </w:r>
      <w:r w:rsidR="002C0309" w:rsidRPr="00A70BED">
        <w:rPr>
          <w:sz w:val="22"/>
          <w:szCs w:val="22"/>
        </w:rPr>
        <w:t xml:space="preserve">for stabilising any patient unexpectedly requiring level </w:t>
      </w:r>
      <w:r w:rsidR="00322AAD" w:rsidRPr="00A70BED">
        <w:rPr>
          <w:sz w:val="22"/>
          <w:szCs w:val="22"/>
        </w:rPr>
        <w:t>3</w:t>
      </w:r>
      <w:r w:rsidR="002C0309" w:rsidRPr="00A70BED">
        <w:rPr>
          <w:sz w:val="22"/>
          <w:szCs w:val="22"/>
        </w:rPr>
        <w:t xml:space="preserve"> care before transfer to </w:t>
      </w:r>
      <w:r w:rsidR="000A61C5" w:rsidRPr="00A70BED">
        <w:rPr>
          <w:sz w:val="22"/>
          <w:szCs w:val="22"/>
        </w:rPr>
        <w:t>GH</w:t>
      </w:r>
      <w:r w:rsidR="002C0309" w:rsidRPr="00A70BED">
        <w:rPr>
          <w:sz w:val="22"/>
          <w:szCs w:val="22"/>
        </w:rPr>
        <w:t xml:space="preserve">.  </w:t>
      </w:r>
      <w:r w:rsidR="009F231C" w:rsidRPr="00A70BED">
        <w:rPr>
          <w:sz w:val="22"/>
          <w:szCs w:val="22"/>
        </w:rPr>
        <w:t>As part of this phase of the overall reconfiguration, g</w:t>
      </w:r>
      <w:r w:rsidR="00B26AE3" w:rsidRPr="00A70BED">
        <w:rPr>
          <w:sz w:val="22"/>
          <w:szCs w:val="22"/>
        </w:rPr>
        <w:t xml:space="preserve">eneral surgery and colorectal surgery will move to Leicester Royal Infirmary.  </w:t>
      </w:r>
      <w:r w:rsidR="008A61E0" w:rsidRPr="00A70BED">
        <w:rPr>
          <w:sz w:val="22"/>
          <w:szCs w:val="22"/>
        </w:rPr>
        <w:t>Th</w:t>
      </w:r>
      <w:r w:rsidR="00957BEC" w:rsidRPr="00A70BED">
        <w:rPr>
          <w:sz w:val="22"/>
          <w:szCs w:val="22"/>
        </w:rPr>
        <w:t xml:space="preserve">e goals of this </w:t>
      </w:r>
      <w:r w:rsidR="008A61E0" w:rsidRPr="00A70BED">
        <w:rPr>
          <w:sz w:val="22"/>
          <w:szCs w:val="22"/>
        </w:rPr>
        <w:t xml:space="preserve">reconfiguration, it is proposed, </w:t>
      </w:r>
      <w:r w:rsidR="00957BEC" w:rsidRPr="00A70BED">
        <w:rPr>
          <w:sz w:val="22"/>
          <w:szCs w:val="22"/>
        </w:rPr>
        <w:t>include</w:t>
      </w:r>
      <w:r w:rsidR="00615956">
        <w:rPr>
          <w:sz w:val="22"/>
          <w:szCs w:val="22"/>
        </w:rPr>
        <w:t xml:space="preserve"> to</w:t>
      </w:r>
      <w:r w:rsidR="008A61E0" w:rsidRPr="00A70BED">
        <w:rPr>
          <w:sz w:val="22"/>
          <w:szCs w:val="22"/>
        </w:rPr>
        <w:t>:</w:t>
      </w:r>
    </w:p>
    <w:p w14:paraId="067A6BA7" w14:textId="77777777" w:rsidR="00B26AE3" w:rsidRPr="00A70BED" w:rsidRDefault="00B26AE3" w:rsidP="00507361">
      <w:pPr>
        <w:pStyle w:val="ListParagraph"/>
        <w:spacing w:line="360" w:lineRule="auto"/>
        <w:ind w:left="0"/>
        <w:rPr>
          <w:sz w:val="22"/>
          <w:szCs w:val="22"/>
        </w:rPr>
      </w:pPr>
    </w:p>
    <w:p w14:paraId="3E1D97D8" w14:textId="77777777" w:rsidR="00225E55" w:rsidRPr="00A70BED" w:rsidRDefault="008A61E0" w:rsidP="00507361">
      <w:pPr>
        <w:pStyle w:val="ListParagraph"/>
        <w:numPr>
          <w:ilvl w:val="0"/>
          <w:numId w:val="1"/>
        </w:numPr>
        <w:spacing w:line="360" w:lineRule="auto"/>
        <w:rPr>
          <w:rFonts w:ascii="MS Reference Specialty" w:hAnsi="MS Reference Specialty" w:cs="MS Reference Specialty"/>
          <w:sz w:val="22"/>
          <w:szCs w:val="22"/>
        </w:rPr>
      </w:pPr>
      <w:r w:rsidRPr="00A70BED">
        <w:rPr>
          <w:sz w:val="22"/>
          <w:szCs w:val="22"/>
        </w:rPr>
        <w:t>reduce unnecessary patient journeys</w:t>
      </w:r>
    </w:p>
    <w:p w14:paraId="10570646" w14:textId="77777777" w:rsidR="008A61E0" w:rsidRPr="00A70BED" w:rsidRDefault="008A61E0" w:rsidP="00507361">
      <w:pPr>
        <w:pStyle w:val="ListParagraph"/>
        <w:numPr>
          <w:ilvl w:val="0"/>
          <w:numId w:val="1"/>
        </w:numPr>
        <w:spacing w:line="360" w:lineRule="auto"/>
        <w:rPr>
          <w:rFonts w:ascii="MS Reference Specialty" w:hAnsi="MS Reference Specialty" w:cs="MS Reference Specialty"/>
          <w:sz w:val="22"/>
          <w:szCs w:val="22"/>
        </w:rPr>
      </w:pPr>
      <w:r w:rsidRPr="00A70BED">
        <w:rPr>
          <w:sz w:val="22"/>
          <w:szCs w:val="22"/>
        </w:rPr>
        <w:t>improve clinical adjacencies</w:t>
      </w:r>
    </w:p>
    <w:p w14:paraId="72890FEC" w14:textId="578E0591" w:rsidR="008A61E0" w:rsidRPr="00A70BED" w:rsidRDefault="008A61E0" w:rsidP="00507361">
      <w:pPr>
        <w:pStyle w:val="ListParagraph"/>
        <w:numPr>
          <w:ilvl w:val="0"/>
          <w:numId w:val="1"/>
        </w:numPr>
        <w:spacing w:line="360" w:lineRule="auto"/>
        <w:rPr>
          <w:rFonts w:ascii="MS Reference Specialty" w:hAnsi="MS Reference Specialty" w:cs="MS Reference Specialty"/>
          <w:sz w:val="22"/>
          <w:szCs w:val="22"/>
        </w:rPr>
      </w:pPr>
      <w:r w:rsidRPr="00A70BED">
        <w:rPr>
          <w:sz w:val="22"/>
          <w:szCs w:val="22"/>
        </w:rPr>
        <w:t>provide quicker, navigable, quality services (p81)</w:t>
      </w:r>
    </w:p>
    <w:p w14:paraId="6F14EB6A" w14:textId="77777777" w:rsidR="00AC0936" w:rsidRPr="00A70BED" w:rsidRDefault="00AC0936" w:rsidP="00507361">
      <w:pPr>
        <w:spacing w:line="360" w:lineRule="auto"/>
        <w:rPr>
          <w:rFonts w:ascii="MS Reference Specialty" w:hAnsi="MS Reference Specialty" w:cs="MS Reference Specialty"/>
          <w:sz w:val="22"/>
          <w:szCs w:val="22"/>
        </w:rPr>
      </w:pPr>
    </w:p>
    <w:p w14:paraId="2E5A1F00" w14:textId="315D1971" w:rsidR="00320BD6" w:rsidRPr="006714F8" w:rsidRDefault="00B26AE3" w:rsidP="00507361">
      <w:pPr>
        <w:spacing w:line="360" w:lineRule="auto"/>
        <w:rPr>
          <w:sz w:val="22"/>
          <w:szCs w:val="22"/>
        </w:rPr>
      </w:pPr>
      <w:r w:rsidRPr="00A70BED">
        <w:rPr>
          <w:sz w:val="22"/>
          <w:szCs w:val="22"/>
        </w:rPr>
        <w:lastRenderedPageBreak/>
        <w:t xml:space="preserve">In this report we draw attention to the lack of </w:t>
      </w:r>
      <w:r w:rsidR="00615956">
        <w:rPr>
          <w:sz w:val="22"/>
          <w:szCs w:val="22"/>
        </w:rPr>
        <w:t xml:space="preserve">formal </w:t>
      </w:r>
      <w:r w:rsidRPr="00A70BED">
        <w:rPr>
          <w:sz w:val="22"/>
          <w:szCs w:val="22"/>
        </w:rPr>
        <w:t xml:space="preserve">public consultation </w:t>
      </w:r>
      <w:r w:rsidR="002B4B18" w:rsidRPr="00A70BED">
        <w:rPr>
          <w:sz w:val="22"/>
          <w:szCs w:val="22"/>
        </w:rPr>
        <w:t xml:space="preserve">undertaken by UHL and </w:t>
      </w:r>
      <w:r w:rsidR="00615956">
        <w:rPr>
          <w:sz w:val="22"/>
          <w:szCs w:val="22"/>
        </w:rPr>
        <w:t xml:space="preserve">to </w:t>
      </w:r>
      <w:r w:rsidR="0069340F" w:rsidRPr="00A70BED">
        <w:rPr>
          <w:sz w:val="22"/>
          <w:szCs w:val="22"/>
        </w:rPr>
        <w:t>some of the</w:t>
      </w:r>
      <w:r w:rsidR="002B4B18" w:rsidRPr="00A70BED">
        <w:rPr>
          <w:sz w:val="22"/>
          <w:szCs w:val="22"/>
        </w:rPr>
        <w:t xml:space="preserve"> errors or omissions in the FBC which could adversely affect the quality of patient care and, possibly, patient safety</w:t>
      </w:r>
      <w:r w:rsidR="00957BEC" w:rsidRPr="00A70BED">
        <w:rPr>
          <w:sz w:val="22"/>
          <w:szCs w:val="22"/>
        </w:rPr>
        <w:t xml:space="preserve"> and so fail to achieve these goals</w:t>
      </w:r>
      <w:r w:rsidR="002B4B18" w:rsidRPr="00A70BED">
        <w:rPr>
          <w:sz w:val="22"/>
          <w:szCs w:val="22"/>
        </w:rPr>
        <w:t>.</w:t>
      </w:r>
    </w:p>
    <w:p w14:paraId="76ED4FC2" w14:textId="77777777" w:rsidR="00B86975" w:rsidRPr="00A70BED" w:rsidRDefault="00B86975" w:rsidP="00507361">
      <w:pPr>
        <w:spacing w:line="360" w:lineRule="auto"/>
        <w:rPr>
          <w:b/>
          <w:i/>
          <w:sz w:val="22"/>
          <w:szCs w:val="22"/>
        </w:rPr>
      </w:pPr>
    </w:p>
    <w:p w14:paraId="37ECE21D" w14:textId="01F2B6EE" w:rsidR="00957BEC" w:rsidRPr="004B2EC4" w:rsidRDefault="007C6588" w:rsidP="00507361">
      <w:pPr>
        <w:spacing w:line="360" w:lineRule="auto"/>
        <w:rPr>
          <w:b/>
          <w:sz w:val="22"/>
          <w:szCs w:val="22"/>
        </w:rPr>
      </w:pPr>
      <w:r w:rsidRPr="004B2EC4">
        <w:rPr>
          <w:b/>
          <w:sz w:val="22"/>
          <w:szCs w:val="22"/>
        </w:rPr>
        <w:t>2.</w:t>
      </w:r>
      <w:r w:rsidR="005133EC">
        <w:rPr>
          <w:b/>
          <w:sz w:val="22"/>
          <w:szCs w:val="22"/>
        </w:rPr>
        <w:t xml:space="preserve"> </w:t>
      </w:r>
      <w:r w:rsidR="00957BEC" w:rsidRPr="004B2EC4">
        <w:rPr>
          <w:b/>
          <w:sz w:val="22"/>
          <w:szCs w:val="22"/>
        </w:rPr>
        <w:t xml:space="preserve">Public </w:t>
      </w:r>
      <w:r w:rsidR="007C38D0" w:rsidRPr="004B2EC4">
        <w:rPr>
          <w:b/>
          <w:sz w:val="22"/>
          <w:szCs w:val="22"/>
        </w:rPr>
        <w:t>consultation</w:t>
      </w:r>
    </w:p>
    <w:p w14:paraId="56B56E86" w14:textId="77777777" w:rsidR="002A09B0" w:rsidRPr="00A70BED" w:rsidRDefault="002A09B0" w:rsidP="00507361">
      <w:pPr>
        <w:spacing w:line="360" w:lineRule="auto"/>
        <w:rPr>
          <w:b/>
          <w:i/>
          <w:sz w:val="22"/>
          <w:szCs w:val="22"/>
        </w:rPr>
      </w:pPr>
    </w:p>
    <w:p w14:paraId="3765B909" w14:textId="115D543C" w:rsidR="00316668" w:rsidRPr="00A70BED" w:rsidRDefault="002A09B0" w:rsidP="00507361">
      <w:pPr>
        <w:spacing w:line="360" w:lineRule="auto"/>
        <w:rPr>
          <w:sz w:val="22"/>
          <w:szCs w:val="22"/>
        </w:rPr>
      </w:pPr>
      <w:r w:rsidRPr="00A70BED">
        <w:rPr>
          <w:sz w:val="22"/>
          <w:szCs w:val="22"/>
        </w:rPr>
        <w:t>English law demands that the public must be co</w:t>
      </w:r>
      <w:r w:rsidR="00892BBF" w:rsidRPr="00A70BED">
        <w:rPr>
          <w:sz w:val="22"/>
          <w:szCs w:val="22"/>
        </w:rPr>
        <w:t>nsulted before decisions and</w:t>
      </w:r>
      <w:r w:rsidRPr="00A70BED">
        <w:rPr>
          <w:sz w:val="22"/>
          <w:szCs w:val="22"/>
        </w:rPr>
        <w:t xml:space="preserve"> changes are made to National Health Services (Mills &amp; Reeve 2013</w:t>
      </w:r>
      <w:r w:rsidR="007113FC" w:rsidRPr="00A70BED">
        <w:rPr>
          <w:rStyle w:val="FootnoteReference"/>
          <w:sz w:val="22"/>
          <w:szCs w:val="22"/>
        </w:rPr>
        <w:footnoteReference w:id="3"/>
      </w:r>
      <w:r w:rsidRPr="00A70BED">
        <w:rPr>
          <w:sz w:val="22"/>
          <w:szCs w:val="22"/>
        </w:rPr>
        <w:t>)</w:t>
      </w:r>
      <w:r w:rsidR="00842903" w:rsidRPr="00A70BED">
        <w:rPr>
          <w:sz w:val="22"/>
          <w:szCs w:val="22"/>
        </w:rPr>
        <w:t>.</w:t>
      </w:r>
      <w:r w:rsidRPr="00A70BED">
        <w:rPr>
          <w:sz w:val="22"/>
          <w:szCs w:val="22"/>
        </w:rPr>
        <w:t xml:space="preserve"> </w:t>
      </w:r>
      <w:r w:rsidR="00320BD6" w:rsidRPr="00A70BED">
        <w:rPr>
          <w:sz w:val="22"/>
          <w:szCs w:val="22"/>
        </w:rPr>
        <w:t xml:space="preserve"> </w:t>
      </w:r>
      <w:r w:rsidR="007C38D0" w:rsidRPr="00A70BED">
        <w:rPr>
          <w:sz w:val="22"/>
          <w:szCs w:val="22"/>
        </w:rPr>
        <w:t>NHS England (2017)</w:t>
      </w:r>
      <w:r w:rsidR="00586B4A" w:rsidRPr="00A70BED">
        <w:rPr>
          <w:rStyle w:val="FootnoteReference"/>
          <w:sz w:val="22"/>
          <w:szCs w:val="22"/>
        </w:rPr>
        <w:footnoteReference w:id="4"/>
      </w:r>
      <w:r w:rsidR="007C38D0" w:rsidRPr="00A70BED">
        <w:rPr>
          <w:sz w:val="22"/>
          <w:szCs w:val="22"/>
        </w:rPr>
        <w:t xml:space="preserve"> provides guidance on public consultation for commissioners of health car</w:t>
      </w:r>
      <w:r w:rsidR="00586B4A" w:rsidRPr="00A70BED">
        <w:rPr>
          <w:sz w:val="22"/>
          <w:szCs w:val="22"/>
        </w:rPr>
        <w:t>e as follows:</w:t>
      </w:r>
    </w:p>
    <w:p w14:paraId="2090B19A" w14:textId="594689B7" w:rsidR="00EA3948" w:rsidRPr="00A70BED" w:rsidRDefault="00316668" w:rsidP="00507361">
      <w:pPr>
        <w:pStyle w:val="NormalWeb"/>
        <w:spacing w:line="360" w:lineRule="auto"/>
        <w:ind w:left="567" w:right="567"/>
        <w:rPr>
          <w:rFonts w:ascii="Arial" w:hAnsi="Arial" w:cs="Arial"/>
          <w:sz w:val="22"/>
          <w:szCs w:val="22"/>
        </w:rPr>
      </w:pPr>
      <w:r w:rsidRPr="00A70BED">
        <w:rPr>
          <w:rFonts w:ascii="Arial" w:hAnsi="Arial" w:cs="Arial"/>
          <w:sz w:val="22"/>
          <w:szCs w:val="22"/>
        </w:rPr>
        <w:t xml:space="preserve">Staff can better understand population health needs, and respond to what matters most to people when they involve and listen to those who need, use and care about NHS services. </w:t>
      </w:r>
      <w:r w:rsidR="006045D0" w:rsidRPr="00A70BED">
        <w:rPr>
          <w:rFonts w:ascii="Arial" w:hAnsi="Arial" w:cs="Arial"/>
          <w:sz w:val="22"/>
          <w:szCs w:val="22"/>
        </w:rPr>
        <w:t xml:space="preserve"> </w:t>
      </w:r>
      <w:r w:rsidRPr="00A70BED">
        <w:rPr>
          <w:rFonts w:ascii="Arial" w:hAnsi="Arial" w:cs="Arial"/>
          <w:sz w:val="22"/>
          <w:szCs w:val="22"/>
        </w:rPr>
        <w:t xml:space="preserve">Patients and the public can often identify innovative, effective and efficient ways of designing, delivering and joining up services (p10)….. The examples indicate some circumstances where the legal duty to involve the public may apply and therefore where commissioners should assess this to determine the appropriate response. </w:t>
      </w:r>
      <w:r w:rsidR="006045D0" w:rsidRPr="00A70BED">
        <w:rPr>
          <w:rFonts w:ascii="Arial" w:hAnsi="Arial" w:cs="Arial"/>
          <w:sz w:val="22"/>
          <w:szCs w:val="22"/>
        </w:rPr>
        <w:t xml:space="preserve"> </w:t>
      </w:r>
      <w:r w:rsidRPr="00A70BED">
        <w:rPr>
          <w:rFonts w:ascii="Arial" w:hAnsi="Arial" w:cs="Arial"/>
          <w:sz w:val="22"/>
          <w:szCs w:val="22"/>
        </w:rPr>
        <w:t>As it is not possible to anticipate every such situation, the list is not exhaustive</w:t>
      </w:r>
      <w:r w:rsidR="00EA3948" w:rsidRPr="00A70BED">
        <w:rPr>
          <w:rFonts w:ascii="Arial" w:hAnsi="Arial" w:cs="Arial"/>
          <w:sz w:val="22"/>
          <w:szCs w:val="22"/>
        </w:rPr>
        <w:t xml:space="preserve"> </w:t>
      </w:r>
      <w:r w:rsidRPr="00A70BED">
        <w:rPr>
          <w:rFonts w:ascii="Arial" w:hAnsi="Arial" w:cs="Arial"/>
          <w:sz w:val="22"/>
          <w:szCs w:val="22"/>
        </w:rPr>
        <w:t xml:space="preserve">(p17)….  [but includes]  </w:t>
      </w:r>
      <w:r w:rsidR="006045D0" w:rsidRPr="00A70BED">
        <w:rPr>
          <w:rFonts w:ascii="Arial" w:hAnsi="Arial" w:cs="Arial"/>
          <w:sz w:val="22"/>
          <w:szCs w:val="22"/>
        </w:rPr>
        <w:t>[d]</w:t>
      </w:r>
      <w:r w:rsidRPr="00A70BED">
        <w:rPr>
          <w:rFonts w:ascii="Arial" w:hAnsi="Arial" w:cs="Arial"/>
          <w:sz w:val="22"/>
          <w:szCs w:val="22"/>
        </w:rPr>
        <w:t>eveloping and considering proposals to change commissioning arrangements, for example:</w:t>
      </w:r>
      <w:r w:rsidRPr="00A70BED">
        <w:rPr>
          <w:rFonts w:ascii="Arial" w:hAnsi="Arial" w:cs="Arial"/>
          <w:sz w:val="22"/>
          <w:szCs w:val="22"/>
        </w:rPr>
        <w:br/>
        <w:t>- Changes to services, new models of care, new service specifications, local improvement schemes, etc.</w:t>
      </w:r>
      <w:r w:rsidRPr="00A70BED">
        <w:rPr>
          <w:rFonts w:ascii="Arial" w:hAnsi="Arial" w:cs="Arial"/>
          <w:sz w:val="22"/>
          <w:szCs w:val="22"/>
        </w:rPr>
        <w:br/>
        <w:t>- Reconfigurations involving movement of services from one provider or location to another</w:t>
      </w:r>
      <w:r w:rsidR="00EA3948" w:rsidRPr="00A70BED">
        <w:rPr>
          <w:rFonts w:ascii="Arial" w:hAnsi="Arial" w:cs="Arial"/>
          <w:sz w:val="22"/>
          <w:szCs w:val="22"/>
        </w:rPr>
        <w:t xml:space="preserve"> (p18)</w:t>
      </w:r>
      <w:r w:rsidRPr="00A70BED">
        <w:rPr>
          <w:rFonts w:ascii="Arial" w:hAnsi="Arial" w:cs="Arial"/>
          <w:sz w:val="22"/>
          <w:szCs w:val="22"/>
        </w:rPr>
        <w:t>.</w:t>
      </w:r>
    </w:p>
    <w:p w14:paraId="54784E8F" w14:textId="6ACFD46C" w:rsidR="00316668" w:rsidRPr="00A70BED" w:rsidRDefault="00EA3948" w:rsidP="00507361">
      <w:pPr>
        <w:pStyle w:val="NormalWeb"/>
        <w:spacing w:line="360" w:lineRule="auto"/>
        <w:rPr>
          <w:rFonts w:ascii="Arial" w:hAnsi="Arial" w:cs="Arial"/>
          <w:sz w:val="22"/>
          <w:szCs w:val="22"/>
        </w:rPr>
      </w:pPr>
      <w:r w:rsidRPr="00A70BED">
        <w:rPr>
          <w:rFonts w:ascii="Arial" w:hAnsi="Arial" w:cs="Arial"/>
          <w:sz w:val="22"/>
          <w:szCs w:val="22"/>
        </w:rPr>
        <w:t xml:space="preserve">In a separate document, </w:t>
      </w:r>
      <w:r w:rsidRPr="00A70BED">
        <w:rPr>
          <w:rFonts w:ascii="Arial" w:hAnsi="Arial" w:cs="Arial"/>
          <w:i/>
          <w:sz w:val="22"/>
          <w:szCs w:val="22"/>
        </w:rPr>
        <w:t xml:space="preserve">‘Planning, assuring and delivering service change for patients’ </w:t>
      </w:r>
      <w:r w:rsidRPr="00A70BED">
        <w:rPr>
          <w:rFonts w:ascii="Arial" w:hAnsi="Arial" w:cs="Arial"/>
          <w:sz w:val="22"/>
          <w:szCs w:val="22"/>
        </w:rPr>
        <w:t>(NHS England 2018)</w:t>
      </w:r>
      <w:r w:rsidR="00FE41DA" w:rsidRPr="00A70BED">
        <w:rPr>
          <w:rStyle w:val="FootnoteReference"/>
          <w:rFonts w:ascii="Arial" w:hAnsi="Arial" w:cs="Arial"/>
          <w:sz w:val="22"/>
          <w:szCs w:val="22"/>
        </w:rPr>
        <w:footnoteReference w:id="5"/>
      </w:r>
      <w:r w:rsidRPr="00A70BED">
        <w:rPr>
          <w:rFonts w:ascii="Arial" w:hAnsi="Arial" w:cs="Arial"/>
          <w:sz w:val="22"/>
          <w:szCs w:val="22"/>
        </w:rPr>
        <w:t xml:space="preserve"> </w:t>
      </w:r>
      <w:r w:rsidR="005D02FE" w:rsidRPr="00A70BED">
        <w:rPr>
          <w:rFonts w:ascii="Arial" w:hAnsi="Arial" w:cs="Arial"/>
          <w:sz w:val="22"/>
          <w:szCs w:val="22"/>
        </w:rPr>
        <w:t>states:</w:t>
      </w:r>
    </w:p>
    <w:p w14:paraId="66B5C384" w14:textId="77777777" w:rsidR="002A0BE8" w:rsidRPr="00A70BED" w:rsidRDefault="00AC3132" w:rsidP="00507361">
      <w:pPr>
        <w:pStyle w:val="NormalWeb"/>
        <w:spacing w:line="360" w:lineRule="auto"/>
        <w:ind w:left="567" w:right="567"/>
        <w:rPr>
          <w:rFonts w:ascii="Arial" w:hAnsi="Arial" w:cs="Arial"/>
          <w:sz w:val="22"/>
          <w:szCs w:val="22"/>
        </w:rPr>
      </w:pPr>
      <w:r w:rsidRPr="00A70BED">
        <w:rPr>
          <w:rFonts w:ascii="Arial" w:hAnsi="Arial" w:cs="Arial"/>
          <w:sz w:val="22"/>
          <w:szCs w:val="22"/>
        </w:rPr>
        <w:lastRenderedPageBreak/>
        <w:t>There is no legal definition of service change but broadly it encompasses any change to the provision of NHS services which involves a shift in the way front line health services are delivered, usually involving a change to the range of services available and/or the geographical location from which services are delivered (p7)</w:t>
      </w:r>
      <w:r w:rsidR="005D02FE" w:rsidRPr="00A70BED">
        <w:rPr>
          <w:rFonts w:ascii="Arial" w:hAnsi="Arial" w:cs="Arial"/>
          <w:sz w:val="22"/>
          <w:szCs w:val="22"/>
        </w:rPr>
        <w:t xml:space="preserve"> </w:t>
      </w:r>
      <w:r w:rsidR="002A0BE8" w:rsidRPr="00A70BED">
        <w:rPr>
          <w:rFonts w:ascii="Arial" w:hAnsi="Arial" w:cs="Arial"/>
          <w:sz w:val="22"/>
          <w:szCs w:val="22"/>
        </w:rPr>
        <w:t>…</w:t>
      </w:r>
    </w:p>
    <w:p w14:paraId="31A0848B" w14:textId="234D9641" w:rsidR="005D02FE" w:rsidRPr="00A70BED" w:rsidRDefault="005D02FE" w:rsidP="00507361">
      <w:pPr>
        <w:pStyle w:val="NormalWeb"/>
        <w:spacing w:line="360" w:lineRule="auto"/>
        <w:ind w:left="567" w:right="567"/>
        <w:rPr>
          <w:rFonts w:ascii="Arial" w:hAnsi="Arial" w:cs="Arial"/>
          <w:sz w:val="22"/>
          <w:szCs w:val="22"/>
        </w:rPr>
      </w:pPr>
      <w:r w:rsidRPr="00A70BED">
        <w:rPr>
          <w:rFonts w:ascii="Arial" w:hAnsi="Arial" w:cs="Arial"/>
          <w:sz w:val="22"/>
          <w:szCs w:val="22"/>
        </w:rPr>
        <w:t>Change of site from which services are delivered, with its consequent impact on patient, relative and visitor travel times, even with no changes to the services provided, would normally be a substantial change and would therefore trigger the duty to consult the local authority and would be likely to requi</w:t>
      </w:r>
      <w:r w:rsidR="005C7436" w:rsidRPr="00A70BED">
        <w:rPr>
          <w:rFonts w:ascii="Arial" w:hAnsi="Arial" w:cs="Arial"/>
          <w:sz w:val="22"/>
          <w:szCs w:val="22"/>
        </w:rPr>
        <w:t>re public consultation</w:t>
      </w:r>
      <w:r w:rsidR="002A0BE8" w:rsidRPr="00A70BED">
        <w:rPr>
          <w:rFonts w:ascii="Arial" w:hAnsi="Arial" w:cs="Arial"/>
          <w:sz w:val="22"/>
          <w:szCs w:val="22"/>
        </w:rPr>
        <w:t xml:space="preserve"> (p8)</w:t>
      </w:r>
      <w:r w:rsidR="005C7436" w:rsidRPr="00A70BED">
        <w:rPr>
          <w:rFonts w:ascii="Arial" w:hAnsi="Arial" w:cs="Arial"/>
          <w:sz w:val="22"/>
          <w:szCs w:val="22"/>
        </w:rPr>
        <w:t xml:space="preserve"> ….</w:t>
      </w:r>
    </w:p>
    <w:p w14:paraId="77796FA2" w14:textId="2DC2D5B3" w:rsidR="005C7436" w:rsidRPr="00A70BED" w:rsidRDefault="005C7436" w:rsidP="00507361">
      <w:pPr>
        <w:spacing w:before="100" w:beforeAutospacing="1" w:after="100" w:afterAutospacing="1" w:line="360" w:lineRule="auto"/>
        <w:ind w:left="567" w:right="567"/>
        <w:rPr>
          <w:sz w:val="22"/>
          <w:szCs w:val="22"/>
        </w:rPr>
      </w:pPr>
      <w:r w:rsidRPr="00A70BED">
        <w:rPr>
          <w:sz w:val="22"/>
          <w:szCs w:val="22"/>
        </w:rPr>
        <w:t xml:space="preserve">Where a proposal for substantial service change is made by the provider rather than the commissioner, the 2013 Regulations require the commissioner to undertake the consultation with the local authority on behalf of the provider. </w:t>
      </w:r>
      <w:r w:rsidR="00A7383B" w:rsidRPr="00A70BED">
        <w:rPr>
          <w:sz w:val="22"/>
          <w:szCs w:val="22"/>
        </w:rPr>
        <w:t xml:space="preserve"> </w:t>
      </w:r>
      <w:r w:rsidRPr="00A70BED">
        <w:rPr>
          <w:sz w:val="22"/>
          <w:szCs w:val="22"/>
        </w:rPr>
        <w:t>Where there is a duty for the commissioner to consult the local authority under the s.244 Regulations, it will almost invariably be the case that public consultation is also required (p11)…</w:t>
      </w:r>
      <w:r w:rsidR="00313927" w:rsidRPr="00A70BED">
        <w:rPr>
          <w:sz w:val="22"/>
          <w:szCs w:val="22"/>
        </w:rPr>
        <w:t>i</w:t>
      </w:r>
      <w:r w:rsidRPr="00A70BED">
        <w:rPr>
          <w:sz w:val="22"/>
          <w:szCs w:val="22"/>
        </w:rPr>
        <w:t xml:space="preserve">n practice, public consultation requirements for commissioners and providers may be satisfied with one public consultation, but it is for each organisation with a public involvement duty to satisfy themselves that the consultation properly addresses their responsibilities. </w:t>
      </w:r>
      <w:r w:rsidR="001E55BB" w:rsidRPr="00A70BED">
        <w:rPr>
          <w:sz w:val="22"/>
          <w:szCs w:val="22"/>
        </w:rPr>
        <w:t xml:space="preserve"> </w:t>
      </w:r>
      <w:r w:rsidRPr="00A70BED">
        <w:rPr>
          <w:sz w:val="22"/>
          <w:szCs w:val="22"/>
        </w:rPr>
        <w:t xml:space="preserve">Therefore both commissioners and providers need to ensure that they have satisfied their statutory duties to involve and consult (p12). </w:t>
      </w:r>
    </w:p>
    <w:p w14:paraId="36497F7F" w14:textId="526C01D0" w:rsidR="00A76E56" w:rsidRPr="00A70BED" w:rsidRDefault="00202C1F" w:rsidP="00507361">
      <w:pPr>
        <w:pStyle w:val="NormalWeb"/>
        <w:spacing w:line="360" w:lineRule="auto"/>
        <w:rPr>
          <w:rFonts w:ascii="Arial" w:hAnsi="Arial" w:cs="Arial"/>
          <w:sz w:val="22"/>
          <w:szCs w:val="22"/>
        </w:rPr>
      </w:pPr>
      <w:r w:rsidRPr="00A70BED">
        <w:rPr>
          <w:rFonts w:ascii="Arial" w:hAnsi="Arial" w:cs="Arial"/>
          <w:sz w:val="22"/>
          <w:szCs w:val="22"/>
        </w:rPr>
        <w:t>T</w:t>
      </w:r>
      <w:r w:rsidR="00A76E56" w:rsidRPr="00A70BED">
        <w:rPr>
          <w:rFonts w:ascii="Arial" w:hAnsi="Arial" w:cs="Arial"/>
          <w:sz w:val="22"/>
          <w:szCs w:val="22"/>
        </w:rPr>
        <w:t>here is, therefore, a cle</w:t>
      </w:r>
      <w:r w:rsidR="00313927" w:rsidRPr="00A70BED">
        <w:rPr>
          <w:rFonts w:ascii="Arial" w:hAnsi="Arial" w:cs="Arial"/>
          <w:sz w:val="22"/>
          <w:szCs w:val="22"/>
        </w:rPr>
        <w:t xml:space="preserve">ar duty by both UHL and the </w:t>
      </w:r>
      <w:r w:rsidR="00313927" w:rsidRPr="00E33FCA">
        <w:rPr>
          <w:rFonts w:ascii="Arial" w:hAnsi="Arial" w:cs="Arial"/>
          <w:sz w:val="22"/>
          <w:szCs w:val="22"/>
        </w:rPr>
        <w:t>C</w:t>
      </w:r>
      <w:r w:rsidR="008C6189" w:rsidRPr="00E33FCA">
        <w:rPr>
          <w:rFonts w:ascii="Arial" w:hAnsi="Arial" w:cs="Arial"/>
          <w:sz w:val="22"/>
          <w:szCs w:val="22"/>
        </w:rPr>
        <w:t xml:space="preserve">linical Commissioning </w:t>
      </w:r>
      <w:r w:rsidR="0044743E" w:rsidRPr="00E33FCA">
        <w:rPr>
          <w:rFonts w:ascii="Arial" w:hAnsi="Arial" w:cs="Arial"/>
          <w:sz w:val="22"/>
          <w:szCs w:val="22"/>
        </w:rPr>
        <w:t>Groups</w:t>
      </w:r>
      <w:r w:rsidR="008C6189" w:rsidRPr="00E33FCA">
        <w:rPr>
          <w:rFonts w:ascii="Arial" w:hAnsi="Arial" w:cs="Arial"/>
          <w:sz w:val="22"/>
          <w:szCs w:val="22"/>
        </w:rPr>
        <w:t xml:space="preserve"> </w:t>
      </w:r>
      <w:r w:rsidR="008C6189">
        <w:rPr>
          <w:rFonts w:ascii="Arial" w:hAnsi="Arial" w:cs="Arial"/>
          <w:sz w:val="22"/>
          <w:szCs w:val="22"/>
        </w:rPr>
        <w:t>(C</w:t>
      </w:r>
      <w:r w:rsidR="00313927" w:rsidRPr="00A70BED">
        <w:rPr>
          <w:rFonts w:ascii="Arial" w:hAnsi="Arial" w:cs="Arial"/>
          <w:sz w:val="22"/>
          <w:szCs w:val="22"/>
        </w:rPr>
        <w:t>CG</w:t>
      </w:r>
      <w:r w:rsidR="00A76E56" w:rsidRPr="00A70BED">
        <w:rPr>
          <w:rFonts w:ascii="Arial" w:hAnsi="Arial" w:cs="Arial"/>
          <w:sz w:val="22"/>
          <w:szCs w:val="22"/>
        </w:rPr>
        <w:t>s</w:t>
      </w:r>
      <w:r w:rsidR="00107584">
        <w:rPr>
          <w:rFonts w:ascii="Arial" w:hAnsi="Arial" w:cs="Arial"/>
          <w:sz w:val="22"/>
          <w:szCs w:val="22"/>
        </w:rPr>
        <w:t>)</w:t>
      </w:r>
      <w:r w:rsidR="00A76E56" w:rsidRPr="00A70BED">
        <w:rPr>
          <w:rFonts w:ascii="Arial" w:hAnsi="Arial" w:cs="Arial"/>
          <w:sz w:val="22"/>
          <w:szCs w:val="22"/>
        </w:rPr>
        <w:t xml:space="preserve"> to ensure that the public have been</w:t>
      </w:r>
      <w:r w:rsidR="00E74539" w:rsidRPr="00A70BED">
        <w:rPr>
          <w:rFonts w:ascii="Arial" w:hAnsi="Arial" w:cs="Arial"/>
          <w:sz w:val="22"/>
          <w:szCs w:val="22"/>
        </w:rPr>
        <w:t xml:space="preserve"> </w:t>
      </w:r>
      <w:r w:rsidR="00A76E56" w:rsidRPr="00A70BED">
        <w:rPr>
          <w:rFonts w:ascii="Arial" w:hAnsi="Arial" w:cs="Arial"/>
          <w:sz w:val="22"/>
          <w:szCs w:val="22"/>
        </w:rPr>
        <w:t xml:space="preserve">consulted </w:t>
      </w:r>
      <w:r w:rsidR="00615956">
        <w:rPr>
          <w:rFonts w:ascii="Arial" w:hAnsi="Arial" w:cs="Arial"/>
          <w:sz w:val="22"/>
          <w:szCs w:val="22"/>
        </w:rPr>
        <w:t>on</w:t>
      </w:r>
      <w:r w:rsidR="00A76E56" w:rsidRPr="00A70BED">
        <w:rPr>
          <w:rFonts w:ascii="Arial" w:hAnsi="Arial" w:cs="Arial"/>
          <w:sz w:val="22"/>
          <w:szCs w:val="22"/>
        </w:rPr>
        <w:t xml:space="preserve"> the </w:t>
      </w:r>
      <w:r w:rsidR="00164AE2" w:rsidRPr="00A70BED">
        <w:rPr>
          <w:rFonts w:ascii="Arial" w:hAnsi="Arial" w:cs="Arial"/>
          <w:sz w:val="22"/>
          <w:szCs w:val="22"/>
        </w:rPr>
        <w:t xml:space="preserve">planned </w:t>
      </w:r>
      <w:r w:rsidR="00A76E56" w:rsidRPr="00A70BED">
        <w:rPr>
          <w:rFonts w:ascii="Arial" w:hAnsi="Arial" w:cs="Arial"/>
          <w:sz w:val="22"/>
          <w:szCs w:val="22"/>
        </w:rPr>
        <w:t xml:space="preserve">relocation of ICU and dependent services </w:t>
      </w:r>
      <w:r w:rsidR="0030169D">
        <w:rPr>
          <w:rFonts w:ascii="Arial" w:hAnsi="Arial" w:cs="Arial"/>
          <w:sz w:val="22"/>
          <w:szCs w:val="22"/>
        </w:rPr>
        <w:t>away from Leicester General Hospital</w:t>
      </w:r>
      <w:r w:rsidR="00DE3802" w:rsidRPr="00A70BED">
        <w:rPr>
          <w:rFonts w:ascii="Arial" w:hAnsi="Arial" w:cs="Arial"/>
          <w:sz w:val="22"/>
          <w:szCs w:val="22"/>
        </w:rPr>
        <w:t>.</w:t>
      </w:r>
    </w:p>
    <w:p w14:paraId="5D86045A" w14:textId="443B6C0A" w:rsidR="005D4ED9" w:rsidRPr="00A70BED" w:rsidRDefault="00510A66" w:rsidP="00507361">
      <w:pPr>
        <w:pStyle w:val="NormalWeb"/>
        <w:spacing w:line="360" w:lineRule="auto"/>
        <w:rPr>
          <w:rFonts w:ascii="Arial" w:hAnsi="Arial" w:cs="Arial"/>
          <w:sz w:val="22"/>
          <w:szCs w:val="22"/>
        </w:rPr>
      </w:pPr>
      <w:r w:rsidRPr="00A70BED">
        <w:rPr>
          <w:rFonts w:ascii="Arial" w:hAnsi="Arial" w:cs="Arial"/>
          <w:sz w:val="22"/>
          <w:szCs w:val="22"/>
        </w:rPr>
        <w:t xml:space="preserve">On 25th February 2015 Leicestershire County Council </w:t>
      </w:r>
      <w:r w:rsidR="00615956">
        <w:rPr>
          <w:rFonts w:ascii="Arial" w:hAnsi="Arial" w:cs="Arial"/>
          <w:sz w:val="22"/>
          <w:szCs w:val="22"/>
        </w:rPr>
        <w:t>h</w:t>
      </w:r>
      <w:r w:rsidRPr="00A70BED">
        <w:rPr>
          <w:rFonts w:ascii="Arial" w:hAnsi="Arial" w:cs="Arial"/>
          <w:sz w:val="22"/>
          <w:szCs w:val="22"/>
        </w:rPr>
        <w:t xml:space="preserve">ealth </w:t>
      </w:r>
      <w:r w:rsidR="00615956">
        <w:rPr>
          <w:rFonts w:ascii="Arial" w:hAnsi="Arial" w:cs="Arial"/>
          <w:sz w:val="22"/>
          <w:szCs w:val="22"/>
        </w:rPr>
        <w:t>o</w:t>
      </w:r>
      <w:r w:rsidRPr="00A70BED">
        <w:rPr>
          <w:rFonts w:ascii="Arial" w:hAnsi="Arial" w:cs="Arial"/>
          <w:sz w:val="22"/>
          <w:szCs w:val="22"/>
        </w:rPr>
        <w:t xml:space="preserve">verview and </w:t>
      </w:r>
      <w:r w:rsidR="00615956">
        <w:rPr>
          <w:rFonts w:ascii="Arial" w:hAnsi="Arial" w:cs="Arial"/>
          <w:sz w:val="22"/>
          <w:szCs w:val="22"/>
        </w:rPr>
        <w:t>s</w:t>
      </w:r>
      <w:r w:rsidRPr="00A70BED">
        <w:rPr>
          <w:rFonts w:ascii="Arial" w:hAnsi="Arial" w:cs="Arial"/>
          <w:sz w:val="22"/>
          <w:szCs w:val="22"/>
        </w:rPr>
        <w:t xml:space="preserve">crutiny </w:t>
      </w:r>
      <w:r w:rsidR="00615956">
        <w:rPr>
          <w:rFonts w:ascii="Arial" w:hAnsi="Arial" w:cs="Arial"/>
          <w:sz w:val="22"/>
          <w:szCs w:val="22"/>
        </w:rPr>
        <w:t>c</w:t>
      </w:r>
      <w:r w:rsidRPr="00A70BED">
        <w:rPr>
          <w:rFonts w:ascii="Arial" w:hAnsi="Arial" w:cs="Arial"/>
          <w:sz w:val="22"/>
          <w:szCs w:val="22"/>
        </w:rPr>
        <w:t>ommi</w:t>
      </w:r>
      <w:r w:rsidR="00615956">
        <w:rPr>
          <w:rFonts w:ascii="Arial" w:hAnsi="Arial" w:cs="Arial"/>
          <w:sz w:val="22"/>
          <w:szCs w:val="22"/>
        </w:rPr>
        <w:t>ttee (HOSC)</w:t>
      </w:r>
      <w:r w:rsidRPr="00A70BED">
        <w:rPr>
          <w:rFonts w:ascii="Arial" w:hAnsi="Arial" w:cs="Arial"/>
          <w:sz w:val="22"/>
          <w:szCs w:val="22"/>
        </w:rPr>
        <w:t xml:space="preserve">, </w:t>
      </w:r>
      <w:r w:rsidR="0069340F" w:rsidRPr="00A70BED">
        <w:rPr>
          <w:rFonts w:ascii="Arial" w:hAnsi="Arial" w:cs="Arial"/>
          <w:sz w:val="22"/>
          <w:szCs w:val="22"/>
        </w:rPr>
        <w:t>in response to</w:t>
      </w:r>
      <w:r w:rsidRPr="00A70BED">
        <w:rPr>
          <w:rFonts w:ascii="Arial" w:hAnsi="Arial" w:cs="Arial"/>
          <w:sz w:val="22"/>
          <w:szCs w:val="22"/>
        </w:rPr>
        <w:t xml:space="preserve"> UHL</w:t>
      </w:r>
      <w:r w:rsidR="0030169D">
        <w:rPr>
          <w:rFonts w:ascii="Arial" w:hAnsi="Arial" w:cs="Arial"/>
          <w:sz w:val="22"/>
          <w:szCs w:val="22"/>
        </w:rPr>
        <w:t>’s</w:t>
      </w:r>
      <w:r w:rsidRPr="00A70BED">
        <w:rPr>
          <w:rFonts w:ascii="Arial" w:hAnsi="Arial" w:cs="Arial"/>
          <w:sz w:val="22"/>
          <w:szCs w:val="22"/>
        </w:rPr>
        <w:t xml:space="preserve"> report </w:t>
      </w:r>
      <w:r w:rsidR="005D4ED9" w:rsidRPr="00A70BED">
        <w:rPr>
          <w:rStyle w:val="FootnoteReference"/>
          <w:rFonts w:ascii="Arial" w:hAnsi="Arial" w:cs="Arial"/>
          <w:sz w:val="22"/>
          <w:szCs w:val="22"/>
        </w:rPr>
        <w:footnoteReference w:id="6"/>
      </w:r>
      <w:r w:rsidR="005D4ED9" w:rsidRPr="00A70BED">
        <w:rPr>
          <w:rFonts w:ascii="Arial" w:hAnsi="Arial" w:cs="Arial"/>
          <w:sz w:val="22"/>
          <w:szCs w:val="22"/>
        </w:rPr>
        <w:t xml:space="preserve"> </w:t>
      </w:r>
      <w:r w:rsidRPr="00A70BED">
        <w:rPr>
          <w:rFonts w:ascii="Arial" w:hAnsi="Arial" w:cs="Arial"/>
          <w:sz w:val="22"/>
          <w:szCs w:val="22"/>
        </w:rPr>
        <w:t xml:space="preserve">stating that ICU reconfiguration needed to take </w:t>
      </w:r>
      <w:r w:rsidR="005D4ED9" w:rsidRPr="00A70BED">
        <w:rPr>
          <w:rFonts w:ascii="Arial" w:hAnsi="Arial" w:cs="Arial"/>
          <w:sz w:val="22"/>
          <w:szCs w:val="22"/>
        </w:rPr>
        <w:t>place before December 2015</w:t>
      </w:r>
      <w:r w:rsidR="0030169D" w:rsidRPr="0030169D">
        <w:rPr>
          <w:rFonts w:ascii="Arial" w:hAnsi="Arial" w:cs="Arial"/>
          <w:sz w:val="22"/>
          <w:szCs w:val="22"/>
        </w:rPr>
        <w:t xml:space="preserve"> </w:t>
      </w:r>
      <w:r w:rsidR="0030169D">
        <w:rPr>
          <w:rFonts w:ascii="Arial" w:hAnsi="Arial" w:cs="Arial"/>
          <w:sz w:val="22"/>
          <w:szCs w:val="22"/>
        </w:rPr>
        <w:t>as ‘the level 3 ICU service at the General Hospital will not be clinically sustainable’ (p33)</w:t>
      </w:r>
      <w:r w:rsidR="00215782">
        <w:rPr>
          <w:rFonts w:ascii="Arial" w:hAnsi="Arial" w:cs="Arial"/>
          <w:sz w:val="22"/>
          <w:szCs w:val="22"/>
        </w:rPr>
        <w:t>,</w:t>
      </w:r>
      <w:r w:rsidR="0030169D">
        <w:rPr>
          <w:rFonts w:ascii="Arial" w:hAnsi="Arial" w:cs="Arial"/>
          <w:sz w:val="22"/>
          <w:szCs w:val="22"/>
        </w:rPr>
        <w:t xml:space="preserve"> </w:t>
      </w:r>
      <w:r w:rsidR="005D4ED9" w:rsidRPr="00A70BED">
        <w:rPr>
          <w:rFonts w:ascii="Arial" w:hAnsi="Arial" w:cs="Arial"/>
          <w:sz w:val="22"/>
          <w:szCs w:val="22"/>
        </w:rPr>
        <w:t>resolved:</w:t>
      </w:r>
    </w:p>
    <w:p w14:paraId="398F4554" w14:textId="10D46F81" w:rsidR="005D4ED9" w:rsidRDefault="005D4ED9" w:rsidP="00507361">
      <w:pPr>
        <w:pStyle w:val="ListParagraph"/>
        <w:numPr>
          <w:ilvl w:val="1"/>
          <w:numId w:val="6"/>
        </w:numPr>
        <w:spacing w:line="360" w:lineRule="auto"/>
        <w:ind w:right="567"/>
        <w:rPr>
          <w:rFonts w:ascii="Helvetica" w:hAnsi="Helvetica" w:cs="Times New Roman"/>
          <w:color w:val="1A1A1A"/>
          <w:sz w:val="22"/>
          <w:szCs w:val="22"/>
        </w:rPr>
      </w:pPr>
      <w:r w:rsidRPr="00A70BED">
        <w:rPr>
          <w:rFonts w:ascii="Helvetica" w:hAnsi="Helvetica" w:cs="Times New Roman"/>
          <w:color w:val="1A1A1A"/>
          <w:sz w:val="22"/>
          <w:szCs w:val="22"/>
        </w:rPr>
        <w:lastRenderedPageBreak/>
        <w:t>That the future of Intensive Care Services, as aligned to the blueprint for Health and Social Care in Leicestershire, Leicester and Rutland 2014-19 be noted;</w:t>
      </w:r>
    </w:p>
    <w:p w14:paraId="14BC82F6" w14:textId="77777777" w:rsidR="00615956" w:rsidRPr="0030169D" w:rsidRDefault="00615956" w:rsidP="00507361">
      <w:pPr>
        <w:spacing w:line="360" w:lineRule="auto"/>
        <w:ind w:left="568" w:right="567"/>
        <w:rPr>
          <w:rFonts w:ascii="Helvetica" w:hAnsi="Helvetica" w:cs="Times New Roman"/>
          <w:color w:val="1A1A1A"/>
          <w:sz w:val="22"/>
          <w:szCs w:val="22"/>
        </w:rPr>
      </w:pPr>
    </w:p>
    <w:p w14:paraId="486372D2" w14:textId="22AA682E" w:rsidR="005D4ED9" w:rsidRPr="00A70BED" w:rsidRDefault="005D4ED9" w:rsidP="00507361">
      <w:pPr>
        <w:pStyle w:val="ListParagraph"/>
        <w:numPr>
          <w:ilvl w:val="1"/>
          <w:numId w:val="6"/>
        </w:numPr>
        <w:spacing w:line="360" w:lineRule="auto"/>
        <w:ind w:right="567"/>
        <w:rPr>
          <w:rFonts w:ascii="Helvetica" w:hAnsi="Helvetica" w:cs="Times New Roman"/>
          <w:color w:val="1A1A1A"/>
          <w:sz w:val="22"/>
          <w:szCs w:val="22"/>
        </w:rPr>
      </w:pPr>
      <w:r w:rsidRPr="00A70BED">
        <w:rPr>
          <w:rFonts w:ascii="Helvetica" w:hAnsi="Helvetica" w:cs="Times New Roman"/>
          <w:color w:val="1A1A1A"/>
          <w:sz w:val="22"/>
          <w:szCs w:val="22"/>
        </w:rPr>
        <w:t>That this Committee is of the view that the proposals to consolidate level 3 Intensive Care Services at the Leicester Royal Infirmary and the Glenfield Hospital are significant and as such constitute a ‘substantial variation’ which would normally need to be the subject of formal consultation;</w:t>
      </w:r>
    </w:p>
    <w:p w14:paraId="2A38AAD2" w14:textId="6DC6D370" w:rsidR="005D4ED9" w:rsidRPr="00A70BED" w:rsidRDefault="005D4ED9" w:rsidP="00507361">
      <w:pPr>
        <w:spacing w:line="360" w:lineRule="auto"/>
        <w:ind w:left="647" w:right="567"/>
        <w:rPr>
          <w:rFonts w:ascii="Helvetica" w:hAnsi="Helvetica" w:cs="Times New Roman"/>
          <w:color w:val="1A1A1A"/>
          <w:sz w:val="22"/>
          <w:szCs w:val="22"/>
        </w:rPr>
      </w:pPr>
    </w:p>
    <w:p w14:paraId="67412194" w14:textId="79E5EFD9" w:rsidR="00E51254" w:rsidRPr="00A70BED" w:rsidRDefault="005D4ED9" w:rsidP="00507361">
      <w:pPr>
        <w:pStyle w:val="ListParagraph"/>
        <w:numPr>
          <w:ilvl w:val="1"/>
          <w:numId w:val="6"/>
        </w:numPr>
        <w:spacing w:line="360" w:lineRule="auto"/>
        <w:ind w:right="567"/>
        <w:rPr>
          <w:rFonts w:ascii="Helvetica" w:hAnsi="Helvetica" w:cs="Times New Roman"/>
          <w:color w:val="1A1A1A"/>
          <w:sz w:val="22"/>
          <w:szCs w:val="22"/>
        </w:rPr>
      </w:pPr>
      <w:r w:rsidRPr="00A70BED">
        <w:rPr>
          <w:rFonts w:ascii="Helvetica" w:hAnsi="Helvetica" w:cs="Times New Roman"/>
          <w:color w:val="1A1A1A"/>
          <w:sz w:val="22"/>
          <w:szCs w:val="22"/>
        </w:rPr>
        <w:t>That this Committee, having considered the outline of the proposals set out in (a) above is of the view that such changes would, if fully implemented as described, improve patient experiences and outcomes and, in view of this, agrees that it would not be in the interest of people of Leicestershire for it to insist upon formal consultation as this would divert resources away from the project team charged with the delivery of these necessary changes, therefore waives its right to be formally consulted on condition that the UHL Trust undertakes to:-</w:t>
      </w:r>
    </w:p>
    <w:p w14:paraId="4008DB3C" w14:textId="77777777" w:rsidR="0069340F" w:rsidRPr="00A70BED" w:rsidRDefault="0069340F" w:rsidP="00507361">
      <w:pPr>
        <w:spacing w:line="360" w:lineRule="auto"/>
        <w:ind w:right="567"/>
        <w:rPr>
          <w:rFonts w:ascii="Helvetica" w:hAnsi="Helvetica" w:cs="Times New Roman"/>
          <w:color w:val="1A1A1A"/>
          <w:sz w:val="22"/>
          <w:szCs w:val="22"/>
        </w:rPr>
      </w:pPr>
    </w:p>
    <w:p w14:paraId="5F5A130A" w14:textId="35A7AEC3" w:rsidR="005D4ED9" w:rsidRPr="00A70BED" w:rsidRDefault="005D4ED9" w:rsidP="00507361">
      <w:pPr>
        <w:pStyle w:val="ListParagraph"/>
        <w:numPr>
          <w:ilvl w:val="0"/>
          <w:numId w:val="7"/>
        </w:numPr>
        <w:spacing w:line="360" w:lineRule="auto"/>
        <w:ind w:right="567"/>
        <w:rPr>
          <w:rFonts w:ascii="Helvetica" w:hAnsi="Helvetica" w:cs="Times New Roman"/>
          <w:color w:val="1A1A1A"/>
          <w:sz w:val="22"/>
          <w:szCs w:val="22"/>
        </w:rPr>
      </w:pPr>
      <w:r w:rsidRPr="00A70BED">
        <w:rPr>
          <w:rFonts w:ascii="Helvetica" w:hAnsi="Helvetica" w:cs="Times New Roman"/>
          <w:color w:val="1A1A1A"/>
          <w:sz w:val="22"/>
          <w:szCs w:val="22"/>
        </w:rPr>
        <w:t>provide the Committee with a detailed project plan for the relocation of services;</w:t>
      </w:r>
    </w:p>
    <w:p w14:paraId="1D995168" w14:textId="6704DA1E" w:rsidR="005D4ED9" w:rsidRPr="00A70BED" w:rsidRDefault="005D4ED9" w:rsidP="00507361">
      <w:pPr>
        <w:pStyle w:val="ListParagraph"/>
        <w:numPr>
          <w:ilvl w:val="0"/>
          <w:numId w:val="7"/>
        </w:numPr>
        <w:spacing w:line="360" w:lineRule="auto"/>
        <w:ind w:right="567"/>
        <w:rPr>
          <w:rFonts w:ascii="Helvetica" w:hAnsi="Helvetica" w:cs="Times New Roman"/>
          <w:color w:val="1A1A1A"/>
          <w:sz w:val="22"/>
          <w:szCs w:val="22"/>
        </w:rPr>
      </w:pPr>
      <w:r w:rsidRPr="00A70BED">
        <w:rPr>
          <w:rFonts w:ascii="Helvetica" w:hAnsi="Helvetica" w:cs="Times New Roman"/>
          <w:color w:val="1A1A1A"/>
          <w:sz w:val="22"/>
          <w:szCs w:val="22"/>
        </w:rPr>
        <w:t>provide regular updates on the progress of works and any variations to the plans; and</w:t>
      </w:r>
    </w:p>
    <w:p w14:paraId="0B3B5DEF" w14:textId="7815CAE2" w:rsidR="008E7D6E" w:rsidRPr="00A70BED" w:rsidRDefault="005D4ED9" w:rsidP="00507361">
      <w:pPr>
        <w:pStyle w:val="ListParagraph"/>
        <w:numPr>
          <w:ilvl w:val="0"/>
          <w:numId w:val="7"/>
        </w:numPr>
        <w:spacing w:line="360" w:lineRule="auto"/>
        <w:ind w:right="567"/>
        <w:rPr>
          <w:rFonts w:ascii="Helvetica" w:hAnsi="Helvetica" w:cs="Times New Roman"/>
          <w:color w:val="1A1A1A"/>
          <w:sz w:val="22"/>
          <w:szCs w:val="22"/>
        </w:rPr>
      </w:pPr>
      <w:r w:rsidRPr="00A70BED">
        <w:rPr>
          <w:rFonts w:ascii="Helvetica" w:hAnsi="Helvetica" w:cs="Times New Roman"/>
          <w:color w:val="1A1A1A"/>
          <w:sz w:val="22"/>
          <w:szCs w:val="22"/>
        </w:rPr>
        <w:t>to meet with the Committee or its representatives if there are any concerns raised by members of the Committee about the implementation of the proposals</w:t>
      </w:r>
      <w:r w:rsidR="00DA2A9B" w:rsidRPr="00A70BED">
        <w:rPr>
          <w:rStyle w:val="FootnoteReference"/>
          <w:rFonts w:ascii="Helvetica" w:hAnsi="Helvetica" w:cs="Times New Roman"/>
          <w:color w:val="1A1A1A"/>
          <w:sz w:val="22"/>
          <w:szCs w:val="22"/>
        </w:rPr>
        <w:footnoteReference w:id="7"/>
      </w:r>
      <w:r w:rsidR="00BA5E4F" w:rsidRPr="00A70BED">
        <w:rPr>
          <w:rFonts w:ascii="Helvetica" w:hAnsi="Helvetica" w:cs="Times New Roman"/>
          <w:color w:val="1A1A1A"/>
          <w:sz w:val="22"/>
          <w:szCs w:val="22"/>
        </w:rPr>
        <w:t>.</w:t>
      </w:r>
    </w:p>
    <w:p w14:paraId="4A1D171C" w14:textId="0AB4A0E1" w:rsidR="004B520A" w:rsidRPr="00107584" w:rsidRDefault="00BA5E4F" w:rsidP="00507361">
      <w:pPr>
        <w:pStyle w:val="NormalWeb"/>
        <w:spacing w:line="360" w:lineRule="auto"/>
        <w:rPr>
          <w:rFonts w:ascii="Arial" w:hAnsi="Arial" w:cs="Arial"/>
          <w:color w:val="FF0000"/>
          <w:sz w:val="22"/>
          <w:szCs w:val="22"/>
        </w:rPr>
      </w:pPr>
      <w:r w:rsidRPr="00A70BED">
        <w:rPr>
          <w:rFonts w:ascii="Arial" w:hAnsi="Arial" w:cs="Arial"/>
          <w:sz w:val="22"/>
          <w:szCs w:val="22"/>
        </w:rPr>
        <w:t xml:space="preserve">On </w:t>
      </w:r>
      <w:r w:rsidR="00F41D05" w:rsidRPr="00A70BED">
        <w:rPr>
          <w:rFonts w:ascii="Arial" w:hAnsi="Arial" w:cs="Arial"/>
          <w:sz w:val="22"/>
          <w:szCs w:val="22"/>
        </w:rPr>
        <w:t>25th March</w:t>
      </w:r>
      <w:r w:rsidR="00E74539" w:rsidRPr="00A70BED">
        <w:rPr>
          <w:rFonts w:ascii="Arial" w:hAnsi="Arial" w:cs="Arial"/>
          <w:sz w:val="22"/>
          <w:szCs w:val="22"/>
        </w:rPr>
        <w:t xml:space="preserve"> 2015</w:t>
      </w:r>
      <w:r w:rsidR="00164AE2" w:rsidRPr="00A70BED">
        <w:rPr>
          <w:rFonts w:ascii="Arial" w:hAnsi="Arial" w:cs="Arial"/>
          <w:sz w:val="22"/>
          <w:szCs w:val="22"/>
        </w:rPr>
        <w:t>,</w:t>
      </w:r>
      <w:r w:rsidR="00E74539" w:rsidRPr="00A70BED">
        <w:rPr>
          <w:rFonts w:ascii="Arial" w:hAnsi="Arial" w:cs="Arial"/>
          <w:sz w:val="22"/>
          <w:szCs w:val="22"/>
        </w:rPr>
        <w:t xml:space="preserve"> UHL presented the</w:t>
      </w:r>
      <w:r w:rsidR="00CF7ED6" w:rsidRPr="00A70BED">
        <w:rPr>
          <w:rFonts w:ascii="Arial" w:hAnsi="Arial" w:cs="Arial"/>
          <w:sz w:val="22"/>
          <w:szCs w:val="22"/>
        </w:rPr>
        <w:t>ir</w:t>
      </w:r>
      <w:r w:rsidR="001E55BB" w:rsidRPr="00A70BED">
        <w:rPr>
          <w:rFonts w:ascii="Arial" w:hAnsi="Arial" w:cs="Arial"/>
          <w:sz w:val="22"/>
          <w:szCs w:val="22"/>
        </w:rPr>
        <w:t xml:space="preserve"> plans to </w:t>
      </w:r>
      <w:r w:rsidR="00E74539" w:rsidRPr="00A70BED">
        <w:rPr>
          <w:rFonts w:ascii="Arial" w:hAnsi="Arial" w:cs="Arial"/>
          <w:sz w:val="22"/>
          <w:szCs w:val="22"/>
        </w:rPr>
        <w:t xml:space="preserve">Leicester City </w:t>
      </w:r>
      <w:r w:rsidR="00372049">
        <w:rPr>
          <w:rFonts w:ascii="Arial" w:hAnsi="Arial" w:cs="Arial"/>
          <w:sz w:val="22"/>
          <w:szCs w:val="22"/>
        </w:rPr>
        <w:t>h</w:t>
      </w:r>
      <w:r w:rsidR="00E74539" w:rsidRPr="00A70BED">
        <w:rPr>
          <w:rFonts w:ascii="Arial" w:hAnsi="Arial" w:cs="Arial"/>
          <w:sz w:val="22"/>
          <w:szCs w:val="22"/>
        </w:rPr>
        <w:t xml:space="preserve">ealth </w:t>
      </w:r>
      <w:r w:rsidR="00372049">
        <w:rPr>
          <w:rFonts w:ascii="Arial" w:hAnsi="Arial" w:cs="Arial"/>
          <w:sz w:val="22"/>
          <w:szCs w:val="22"/>
        </w:rPr>
        <w:t>o</w:t>
      </w:r>
      <w:r w:rsidR="00E74539" w:rsidRPr="00A70BED">
        <w:rPr>
          <w:rFonts w:ascii="Arial" w:hAnsi="Arial" w:cs="Arial"/>
          <w:sz w:val="22"/>
          <w:szCs w:val="22"/>
        </w:rPr>
        <w:t xml:space="preserve">verview and </w:t>
      </w:r>
      <w:r w:rsidR="00372049">
        <w:rPr>
          <w:rFonts w:ascii="Arial" w:hAnsi="Arial" w:cs="Arial"/>
          <w:sz w:val="22"/>
          <w:szCs w:val="22"/>
        </w:rPr>
        <w:t>s</w:t>
      </w:r>
      <w:r w:rsidR="00E74539" w:rsidRPr="00A70BED">
        <w:rPr>
          <w:rFonts w:ascii="Arial" w:hAnsi="Arial" w:cs="Arial"/>
          <w:sz w:val="22"/>
          <w:szCs w:val="22"/>
        </w:rPr>
        <w:t xml:space="preserve">crutiny </w:t>
      </w:r>
      <w:r w:rsidR="00372049">
        <w:rPr>
          <w:rFonts w:ascii="Arial" w:hAnsi="Arial" w:cs="Arial"/>
          <w:sz w:val="22"/>
          <w:szCs w:val="22"/>
        </w:rPr>
        <w:t>c</w:t>
      </w:r>
      <w:r w:rsidR="00E74539" w:rsidRPr="00A70BED">
        <w:rPr>
          <w:rFonts w:ascii="Arial" w:hAnsi="Arial" w:cs="Arial"/>
          <w:sz w:val="22"/>
          <w:szCs w:val="22"/>
        </w:rPr>
        <w:t>ommittee</w:t>
      </w:r>
      <w:r w:rsidR="00B05AB4" w:rsidRPr="00A70BED">
        <w:rPr>
          <w:rFonts w:ascii="Arial" w:hAnsi="Arial" w:cs="Arial"/>
          <w:sz w:val="22"/>
          <w:szCs w:val="22"/>
        </w:rPr>
        <w:t xml:space="preserve"> </w:t>
      </w:r>
      <w:r w:rsidR="00107584" w:rsidRPr="00E33FCA">
        <w:rPr>
          <w:rFonts w:ascii="Arial" w:hAnsi="Arial" w:cs="Arial"/>
          <w:sz w:val="22"/>
          <w:szCs w:val="22"/>
        </w:rPr>
        <w:t xml:space="preserve">(HOSC) </w:t>
      </w:r>
      <w:r w:rsidR="005E048B" w:rsidRPr="00A70BED">
        <w:rPr>
          <w:rFonts w:ascii="Arial" w:hAnsi="Arial" w:cs="Arial"/>
          <w:sz w:val="22"/>
          <w:szCs w:val="22"/>
        </w:rPr>
        <w:t xml:space="preserve">and </w:t>
      </w:r>
      <w:r w:rsidR="00E74539" w:rsidRPr="00A70BED">
        <w:rPr>
          <w:rFonts w:ascii="Arial" w:hAnsi="Arial" w:cs="Arial"/>
          <w:sz w:val="22"/>
          <w:szCs w:val="22"/>
        </w:rPr>
        <w:t xml:space="preserve">argued that </w:t>
      </w:r>
      <w:r w:rsidR="005E048B" w:rsidRPr="00A70BED">
        <w:rPr>
          <w:rFonts w:ascii="Arial" w:hAnsi="Arial" w:cs="Arial"/>
          <w:sz w:val="22"/>
          <w:szCs w:val="22"/>
        </w:rPr>
        <w:t>there was an</w:t>
      </w:r>
      <w:r w:rsidR="009D27CC" w:rsidRPr="00A70BED">
        <w:rPr>
          <w:rFonts w:ascii="Arial" w:hAnsi="Arial" w:cs="Arial"/>
          <w:sz w:val="22"/>
          <w:szCs w:val="22"/>
        </w:rPr>
        <w:t xml:space="preserve"> urgent patient safety need to </w:t>
      </w:r>
      <w:r w:rsidR="00E74539" w:rsidRPr="00A70BED">
        <w:rPr>
          <w:rFonts w:ascii="Arial" w:hAnsi="Arial" w:cs="Arial"/>
          <w:sz w:val="22"/>
          <w:szCs w:val="22"/>
        </w:rPr>
        <w:t xml:space="preserve">close </w:t>
      </w:r>
      <w:r w:rsidR="005E048B" w:rsidRPr="00A70BED">
        <w:rPr>
          <w:rFonts w:ascii="Arial" w:hAnsi="Arial" w:cs="Arial"/>
          <w:sz w:val="22"/>
          <w:szCs w:val="22"/>
        </w:rPr>
        <w:t xml:space="preserve">level </w:t>
      </w:r>
      <w:r w:rsidR="00322AAD" w:rsidRPr="00A70BED">
        <w:rPr>
          <w:rFonts w:ascii="Arial" w:hAnsi="Arial" w:cs="Arial"/>
          <w:sz w:val="22"/>
          <w:szCs w:val="22"/>
        </w:rPr>
        <w:t>3</w:t>
      </w:r>
      <w:r w:rsidR="005E048B" w:rsidRPr="00A70BED">
        <w:rPr>
          <w:rFonts w:ascii="Arial" w:hAnsi="Arial" w:cs="Arial"/>
          <w:sz w:val="22"/>
          <w:szCs w:val="22"/>
        </w:rPr>
        <w:t xml:space="preserve"> </w:t>
      </w:r>
      <w:r w:rsidR="00E74539" w:rsidRPr="00A70BED">
        <w:rPr>
          <w:rFonts w:ascii="Arial" w:hAnsi="Arial" w:cs="Arial"/>
          <w:sz w:val="22"/>
          <w:szCs w:val="22"/>
        </w:rPr>
        <w:t>ICU</w:t>
      </w:r>
      <w:r w:rsidR="005E048B" w:rsidRPr="00A70BED">
        <w:rPr>
          <w:rFonts w:ascii="Arial" w:hAnsi="Arial" w:cs="Arial"/>
          <w:sz w:val="22"/>
          <w:szCs w:val="22"/>
        </w:rPr>
        <w:t xml:space="preserve"> beds</w:t>
      </w:r>
      <w:r w:rsidR="00E74539" w:rsidRPr="00A70BED">
        <w:rPr>
          <w:rFonts w:ascii="Arial" w:hAnsi="Arial" w:cs="Arial"/>
          <w:sz w:val="22"/>
          <w:szCs w:val="22"/>
        </w:rPr>
        <w:t xml:space="preserve"> at LGH</w:t>
      </w:r>
      <w:r w:rsidR="005E048B" w:rsidRPr="00A70BED">
        <w:rPr>
          <w:rFonts w:ascii="Arial" w:hAnsi="Arial" w:cs="Arial"/>
          <w:sz w:val="22"/>
          <w:szCs w:val="22"/>
        </w:rPr>
        <w:t xml:space="preserve"> due to under-capacity at LRI and GH</w:t>
      </w:r>
      <w:r w:rsidR="001E55BB" w:rsidRPr="00A70BED">
        <w:rPr>
          <w:rFonts w:ascii="Arial" w:hAnsi="Arial" w:cs="Arial"/>
          <w:sz w:val="22"/>
          <w:szCs w:val="22"/>
        </w:rPr>
        <w:t>,</w:t>
      </w:r>
      <w:r w:rsidR="005E048B" w:rsidRPr="00A70BED">
        <w:rPr>
          <w:rFonts w:ascii="Arial" w:hAnsi="Arial" w:cs="Arial"/>
          <w:sz w:val="22"/>
          <w:szCs w:val="22"/>
        </w:rPr>
        <w:t xml:space="preserve"> </w:t>
      </w:r>
      <w:r w:rsidR="00AC78AA" w:rsidRPr="00A70BED">
        <w:rPr>
          <w:rFonts w:ascii="Arial" w:hAnsi="Arial" w:cs="Arial"/>
          <w:sz w:val="22"/>
          <w:szCs w:val="22"/>
        </w:rPr>
        <w:t>creating delays in operations</w:t>
      </w:r>
      <w:r w:rsidR="001E55BB" w:rsidRPr="00A70BED">
        <w:rPr>
          <w:rFonts w:ascii="Arial" w:hAnsi="Arial" w:cs="Arial"/>
          <w:sz w:val="22"/>
          <w:szCs w:val="22"/>
        </w:rPr>
        <w:t>,</w:t>
      </w:r>
      <w:r w:rsidR="00AC78AA" w:rsidRPr="00A70BED">
        <w:rPr>
          <w:rFonts w:ascii="Arial" w:hAnsi="Arial" w:cs="Arial"/>
          <w:sz w:val="22"/>
          <w:szCs w:val="22"/>
        </w:rPr>
        <w:t xml:space="preserve"> </w:t>
      </w:r>
      <w:r w:rsidR="00F2709C" w:rsidRPr="00A70BED">
        <w:rPr>
          <w:rFonts w:ascii="Arial" w:hAnsi="Arial" w:cs="Arial"/>
          <w:sz w:val="22"/>
          <w:szCs w:val="22"/>
        </w:rPr>
        <w:t>and over-</w:t>
      </w:r>
      <w:r w:rsidR="005E048B" w:rsidRPr="00A70BED">
        <w:rPr>
          <w:rFonts w:ascii="Arial" w:hAnsi="Arial" w:cs="Arial"/>
          <w:sz w:val="22"/>
          <w:szCs w:val="22"/>
        </w:rPr>
        <w:t xml:space="preserve">capacity at LGH.  </w:t>
      </w:r>
      <w:r w:rsidR="008E7D6E" w:rsidRPr="00A70BED">
        <w:rPr>
          <w:rFonts w:ascii="Arial" w:hAnsi="Arial" w:cs="Arial"/>
          <w:sz w:val="22"/>
          <w:szCs w:val="22"/>
        </w:rPr>
        <w:t>UHL stated that the l</w:t>
      </w:r>
      <w:r w:rsidR="005E048B" w:rsidRPr="00A70BED">
        <w:rPr>
          <w:rFonts w:ascii="Arial" w:hAnsi="Arial" w:cs="Arial"/>
          <w:sz w:val="22"/>
          <w:szCs w:val="22"/>
        </w:rPr>
        <w:t xml:space="preserve">oss of </w:t>
      </w:r>
      <w:r w:rsidR="0030169D">
        <w:rPr>
          <w:rFonts w:ascii="Arial" w:hAnsi="Arial" w:cs="Arial"/>
          <w:sz w:val="22"/>
          <w:szCs w:val="22"/>
        </w:rPr>
        <w:t xml:space="preserve">LGH ICU </w:t>
      </w:r>
      <w:r w:rsidR="005E048B" w:rsidRPr="00A70BED">
        <w:rPr>
          <w:rFonts w:ascii="Arial" w:hAnsi="Arial" w:cs="Arial"/>
          <w:sz w:val="22"/>
          <w:szCs w:val="22"/>
        </w:rPr>
        <w:t xml:space="preserve">teaching status </w:t>
      </w:r>
      <w:r w:rsidR="002E7015" w:rsidRPr="00A70BED">
        <w:rPr>
          <w:rFonts w:ascii="Arial" w:hAnsi="Arial" w:cs="Arial"/>
          <w:sz w:val="22"/>
          <w:szCs w:val="22"/>
        </w:rPr>
        <w:t xml:space="preserve">for intensive care </w:t>
      </w:r>
      <w:r w:rsidR="005E048B" w:rsidRPr="00A70BED">
        <w:rPr>
          <w:rFonts w:ascii="Arial" w:hAnsi="Arial" w:cs="Arial"/>
          <w:sz w:val="22"/>
          <w:szCs w:val="22"/>
        </w:rPr>
        <w:t xml:space="preserve">was also </w:t>
      </w:r>
      <w:r w:rsidR="002E7015" w:rsidRPr="00A70BED">
        <w:rPr>
          <w:rFonts w:ascii="Arial" w:hAnsi="Arial" w:cs="Arial"/>
          <w:sz w:val="22"/>
          <w:szCs w:val="22"/>
        </w:rPr>
        <w:t>exacerbating</w:t>
      </w:r>
      <w:r w:rsidR="005E048B" w:rsidRPr="00A70BED">
        <w:rPr>
          <w:rFonts w:ascii="Arial" w:hAnsi="Arial" w:cs="Arial"/>
          <w:sz w:val="22"/>
          <w:szCs w:val="22"/>
        </w:rPr>
        <w:t xml:space="preserve"> </w:t>
      </w:r>
      <w:r w:rsidR="002E7015" w:rsidRPr="00A70BED">
        <w:rPr>
          <w:rFonts w:ascii="Arial" w:hAnsi="Arial" w:cs="Arial"/>
          <w:sz w:val="22"/>
          <w:szCs w:val="22"/>
        </w:rPr>
        <w:t>difficulties in recruiting and retaining staff</w:t>
      </w:r>
      <w:r w:rsidR="00853F88" w:rsidRPr="00A70BED">
        <w:rPr>
          <w:rFonts w:ascii="Arial" w:hAnsi="Arial" w:cs="Arial"/>
          <w:sz w:val="22"/>
          <w:szCs w:val="22"/>
        </w:rPr>
        <w:t xml:space="preserve"> such that this plan would need to be completed before December </w:t>
      </w:r>
      <w:r w:rsidR="00853F88" w:rsidRPr="00A70BED">
        <w:rPr>
          <w:rFonts w:ascii="Arial" w:hAnsi="Arial" w:cs="Arial"/>
          <w:sz w:val="22"/>
          <w:szCs w:val="22"/>
        </w:rPr>
        <w:lastRenderedPageBreak/>
        <w:t>2015</w:t>
      </w:r>
      <w:r w:rsidR="00F2709C" w:rsidRPr="00A70BED">
        <w:rPr>
          <w:rFonts w:ascii="Arial" w:hAnsi="Arial" w:cs="Arial"/>
          <w:sz w:val="22"/>
          <w:szCs w:val="22"/>
        </w:rPr>
        <w:t xml:space="preserve"> to ensure patient safety</w:t>
      </w:r>
      <w:r w:rsidR="00853F88" w:rsidRPr="00A70BED">
        <w:rPr>
          <w:rFonts w:ascii="Arial" w:hAnsi="Arial" w:cs="Arial"/>
          <w:sz w:val="22"/>
          <w:szCs w:val="22"/>
        </w:rPr>
        <w:t xml:space="preserve">. </w:t>
      </w:r>
      <w:r w:rsidR="00FA4298" w:rsidRPr="00A70BED">
        <w:rPr>
          <w:rFonts w:ascii="Arial" w:hAnsi="Arial" w:cs="Arial"/>
          <w:sz w:val="22"/>
          <w:szCs w:val="22"/>
        </w:rPr>
        <w:t xml:space="preserve"> The minutes record that the committee was assured</w:t>
      </w:r>
      <w:r w:rsidR="008E7D6E" w:rsidRPr="00A70BED">
        <w:rPr>
          <w:rFonts w:ascii="Arial" w:hAnsi="Arial" w:cs="Arial"/>
          <w:sz w:val="22"/>
          <w:szCs w:val="22"/>
        </w:rPr>
        <w:t xml:space="preserve"> by the UHL representative</w:t>
      </w:r>
      <w:r w:rsidR="00FA4298" w:rsidRPr="00A70BED">
        <w:rPr>
          <w:rFonts w:ascii="Arial" w:hAnsi="Arial" w:cs="Arial"/>
          <w:sz w:val="22"/>
          <w:szCs w:val="22"/>
        </w:rPr>
        <w:t xml:space="preserve"> that this </w:t>
      </w:r>
      <w:r w:rsidR="00FA4298" w:rsidRPr="0030169D">
        <w:rPr>
          <w:rFonts w:ascii="Arial" w:hAnsi="Arial" w:cs="Arial"/>
          <w:sz w:val="22"/>
          <w:szCs w:val="22"/>
        </w:rPr>
        <w:t>‘proposal was not associated with delivering the Better Care Together programme but was concerned with continuing to provide a servi</w:t>
      </w:r>
      <w:r w:rsidR="004B520A" w:rsidRPr="0030169D">
        <w:rPr>
          <w:rFonts w:ascii="Arial" w:hAnsi="Arial" w:cs="Arial"/>
          <w:sz w:val="22"/>
          <w:szCs w:val="22"/>
        </w:rPr>
        <w:t>ce’</w:t>
      </w:r>
      <w:r w:rsidR="00B05AB4" w:rsidRPr="00A70BED">
        <w:rPr>
          <w:rStyle w:val="FootnoteReference"/>
          <w:rFonts w:ascii="Arial" w:hAnsi="Arial" w:cs="Arial"/>
          <w:sz w:val="22"/>
          <w:szCs w:val="22"/>
        </w:rPr>
        <w:footnoteReference w:id="8"/>
      </w:r>
      <w:r w:rsidR="00164AE2" w:rsidRPr="00A70BED">
        <w:rPr>
          <w:rFonts w:ascii="Arial" w:hAnsi="Arial" w:cs="Arial"/>
          <w:b/>
          <w:sz w:val="22"/>
          <w:szCs w:val="22"/>
        </w:rPr>
        <w:t xml:space="preserve"> </w:t>
      </w:r>
      <w:r w:rsidR="004B520A" w:rsidRPr="00A70BED">
        <w:rPr>
          <w:rFonts w:ascii="Arial" w:hAnsi="Arial" w:cs="Arial"/>
          <w:sz w:val="22"/>
          <w:szCs w:val="22"/>
        </w:rPr>
        <w:t>(p6).</w:t>
      </w:r>
      <w:r w:rsidR="00107584">
        <w:rPr>
          <w:rFonts w:ascii="Arial" w:hAnsi="Arial" w:cs="Arial"/>
          <w:sz w:val="22"/>
          <w:szCs w:val="22"/>
        </w:rPr>
        <w:t xml:space="preserve"> </w:t>
      </w:r>
    </w:p>
    <w:p w14:paraId="2215D486" w14:textId="77777777" w:rsidR="004B520A" w:rsidRPr="00A70BED" w:rsidRDefault="004B520A" w:rsidP="00507361">
      <w:pPr>
        <w:pStyle w:val="NormalWeb"/>
        <w:spacing w:line="360" w:lineRule="auto"/>
        <w:rPr>
          <w:rFonts w:ascii="Arial" w:hAnsi="Arial" w:cs="Arial"/>
          <w:sz w:val="22"/>
          <w:szCs w:val="22"/>
        </w:rPr>
      </w:pPr>
      <w:r w:rsidRPr="00A70BED">
        <w:rPr>
          <w:rFonts w:ascii="Arial" w:hAnsi="Arial" w:cs="Arial"/>
          <w:sz w:val="22"/>
          <w:szCs w:val="22"/>
        </w:rPr>
        <w:t xml:space="preserve">A clause from a Government publication, </w:t>
      </w:r>
      <w:r w:rsidRPr="00A70BED">
        <w:rPr>
          <w:rFonts w:ascii="Arial" w:hAnsi="Arial" w:cs="Arial"/>
          <w:i/>
          <w:sz w:val="22"/>
          <w:szCs w:val="22"/>
        </w:rPr>
        <w:t xml:space="preserve">Guidance to support local authorities and their partners to deliver effective health scrutiny </w:t>
      </w:r>
      <w:r w:rsidR="008768A5" w:rsidRPr="00A70BED">
        <w:rPr>
          <w:rStyle w:val="FootnoteReference"/>
          <w:rFonts w:ascii="Arial" w:hAnsi="Arial" w:cs="Arial"/>
          <w:sz w:val="22"/>
          <w:szCs w:val="22"/>
        </w:rPr>
        <w:footnoteReference w:id="9"/>
      </w:r>
      <w:r w:rsidRPr="00A70BED">
        <w:rPr>
          <w:rFonts w:ascii="Arial" w:hAnsi="Arial" w:cs="Arial"/>
          <w:sz w:val="22"/>
          <w:szCs w:val="22"/>
        </w:rPr>
        <w:t xml:space="preserve"> was cited at the meeting:</w:t>
      </w:r>
    </w:p>
    <w:p w14:paraId="0630E703" w14:textId="0BDAD886" w:rsidR="004B520A" w:rsidRPr="00A70BED" w:rsidRDefault="004B520A" w:rsidP="00507361">
      <w:pPr>
        <w:spacing w:before="100" w:beforeAutospacing="1" w:after="100" w:afterAutospacing="1" w:line="360" w:lineRule="auto"/>
        <w:ind w:left="567" w:right="567"/>
        <w:rPr>
          <w:rFonts w:ascii="Times New Roman" w:hAnsi="Times New Roman" w:cs="Times New Roman"/>
          <w:sz w:val="22"/>
          <w:szCs w:val="22"/>
        </w:rPr>
      </w:pPr>
      <w:r w:rsidRPr="00A70BED">
        <w:rPr>
          <w:sz w:val="22"/>
          <w:szCs w:val="22"/>
        </w:rPr>
        <w:t>Where the relevant NHS body or health service commissioner believes that a decision has to be taken without allowing time for consultation because of a risk to safety or welfare of patients or staff (this might for example cover the situation where a ward needs to close immediately because of a viral outbreak) – in such cases the NHS body or health service provider must notify the local authority that consultation will not take place and the reason for this (p24).</w:t>
      </w:r>
    </w:p>
    <w:p w14:paraId="2DF86FD8" w14:textId="60BF0127" w:rsidR="00B05AB4" w:rsidRPr="00A70BED" w:rsidRDefault="00B05AB4" w:rsidP="00507361">
      <w:pPr>
        <w:pStyle w:val="NormalWeb"/>
        <w:spacing w:line="360" w:lineRule="auto"/>
        <w:rPr>
          <w:rFonts w:ascii="Arial" w:hAnsi="Arial" w:cs="Arial"/>
          <w:sz w:val="22"/>
          <w:szCs w:val="22"/>
        </w:rPr>
      </w:pPr>
      <w:r w:rsidRPr="00A70BED">
        <w:rPr>
          <w:rFonts w:ascii="Arial" w:hAnsi="Arial" w:cs="Arial"/>
          <w:sz w:val="22"/>
          <w:szCs w:val="22"/>
        </w:rPr>
        <w:t xml:space="preserve">Based on UHL’s argument for the urgency of relocating </w:t>
      </w:r>
      <w:r w:rsidR="00322AAD" w:rsidRPr="00A70BED">
        <w:rPr>
          <w:rFonts w:ascii="Arial" w:hAnsi="Arial" w:cs="Arial"/>
          <w:sz w:val="22"/>
          <w:szCs w:val="22"/>
        </w:rPr>
        <w:t xml:space="preserve">ICU </w:t>
      </w:r>
      <w:r w:rsidRPr="00A70BED">
        <w:rPr>
          <w:rFonts w:ascii="Arial" w:hAnsi="Arial" w:cs="Arial"/>
          <w:sz w:val="22"/>
          <w:szCs w:val="22"/>
        </w:rPr>
        <w:t xml:space="preserve">level </w:t>
      </w:r>
      <w:r w:rsidR="00322AAD" w:rsidRPr="00A70BED">
        <w:rPr>
          <w:rFonts w:ascii="Arial" w:hAnsi="Arial" w:cs="Arial"/>
          <w:sz w:val="22"/>
          <w:szCs w:val="22"/>
        </w:rPr>
        <w:t>3</w:t>
      </w:r>
      <w:r w:rsidRPr="00A70BED">
        <w:rPr>
          <w:rFonts w:ascii="Arial" w:hAnsi="Arial" w:cs="Arial"/>
          <w:sz w:val="22"/>
          <w:szCs w:val="22"/>
        </w:rPr>
        <w:t xml:space="preserve"> beds from LGH to LRI and GH, the minutes record the following: </w:t>
      </w:r>
    </w:p>
    <w:p w14:paraId="0E27808E" w14:textId="2E31904F" w:rsidR="00B05AB4" w:rsidRPr="00A70BED" w:rsidRDefault="00B05AB4" w:rsidP="00507361">
      <w:pPr>
        <w:pStyle w:val="NormalWeb"/>
        <w:spacing w:line="360" w:lineRule="auto"/>
        <w:ind w:left="567"/>
        <w:rPr>
          <w:rFonts w:ascii="Arial" w:hAnsi="Arial" w:cs="Arial"/>
          <w:sz w:val="22"/>
          <w:szCs w:val="22"/>
        </w:rPr>
      </w:pPr>
      <w:r w:rsidRPr="00A70BED">
        <w:rPr>
          <w:rFonts w:ascii="Arial" w:hAnsi="Arial" w:cs="Arial"/>
          <w:sz w:val="22"/>
          <w:szCs w:val="22"/>
        </w:rPr>
        <w:t>Resolved:</w:t>
      </w:r>
    </w:p>
    <w:p w14:paraId="2EE786BD" w14:textId="263899C4" w:rsidR="00B05AB4" w:rsidRDefault="00B05AB4" w:rsidP="00507361">
      <w:pPr>
        <w:pStyle w:val="NormalWeb"/>
        <w:numPr>
          <w:ilvl w:val="2"/>
          <w:numId w:val="6"/>
        </w:numPr>
        <w:spacing w:line="360" w:lineRule="auto"/>
        <w:ind w:left="567"/>
        <w:rPr>
          <w:rFonts w:ascii="Arial" w:hAnsi="Arial" w:cs="Arial"/>
          <w:sz w:val="22"/>
          <w:szCs w:val="22"/>
        </w:rPr>
      </w:pPr>
      <w:r w:rsidRPr="00A70BED">
        <w:rPr>
          <w:rFonts w:ascii="Arial" w:hAnsi="Arial" w:cs="Arial"/>
          <w:sz w:val="22"/>
          <w:szCs w:val="22"/>
        </w:rPr>
        <w:t xml:space="preserve">That it be noted that the University Hospitals of Leicester NHS Trust (UHL) had determined that it was necessary to proceed with the proposal without engaging in a full public consultation exercise, as they felt this was in the best interests of patients in order to provide ICU facilities after December 2015. </w:t>
      </w:r>
    </w:p>
    <w:p w14:paraId="56BF41B3" w14:textId="5137BEB8" w:rsidR="00AC78AA" w:rsidRPr="00FC7258" w:rsidRDefault="00FC7258" w:rsidP="00507361">
      <w:pPr>
        <w:pStyle w:val="NormalWeb"/>
        <w:numPr>
          <w:ilvl w:val="2"/>
          <w:numId w:val="6"/>
        </w:numPr>
        <w:spacing w:line="360" w:lineRule="auto"/>
        <w:ind w:left="567"/>
        <w:rPr>
          <w:rFonts w:ascii="Arial" w:hAnsi="Arial" w:cs="Arial"/>
          <w:sz w:val="22"/>
          <w:szCs w:val="22"/>
        </w:rPr>
      </w:pPr>
      <w:r w:rsidRPr="00FC7258">
        <w:rPr>
          <w:rFonts w:ascii="Arial" w:hAnsi="Arial" w:cs="Arial"/>
          <w:sz w:val="22"/>
          <w:szCs w:val="22"/>
        </w:rPr>
        <w:t>That UHL</w:t>
      </w:r>
      <w:r>
        <w:rPr>
          <w:rFonts w:ascii="Arial" w:hAnsi="Arial" w:cs="Arial"/>
          <w:sz w:val="22"/>
          <w:szCs w:val="22"/>
        </w:rPr>
        <w:t xml:space="preserve"> continue to present periodic updates on the progress with the proposal and the consequences of the changes</w:t>
      </w:r>
      <w:r w:rsidRPr="00A70BED">
        <w:rPr>
          <w:rFonts w:ascii="Arial" w:hAnsi="Arial" w:cs="Arial"/>
          <w:sz w:val="22"/>
          <w:szCs w:val="22"/>
          <w:vertAlign w:val="superscript"/>
        </w:rPr>
        <w:t>5</w:t>
      </w:r>
      <w:r>
        <w:rPr>
          <w:rFonts w:ascii="Arial" w:hAnsi="Arial" w:cs="Arial"/>
          <w:sz w:val="22"/>
          <w:szCs w:val="22"/>
        </w:rPr>
        <w:t xml:space="preserve"> (p25)</w:t>
      </w:r>
    </w:p>
    <w:p w14:paraId="5C19E262" w14:textId="6DCB24C5" w:rsidR="0030169D" w:rsidRPr="00243946" w:rsidRDefault="0030169D" w:rsidP="00507361">
      <w:pPr>
        <w:pStyle w:val="NormalWeb"/>
        <w:spacing w:line="360" w:lineRule="auto"/>
        <w:rPr>
          <w:rFonts w:ascii="Arial" w:hAnsi="Arial" w:cs="Arial"/>
          <w:sz w:val="22"/>
          <w:szCs w:val="22"/>
        </w:rPr>
      </w:pPr>
      <w:r>
        <w:rPr>
          <w:rFonts w:ascii="Arial" w:hAnsi="Arial" w:cs="Arial"/>
          <w:sz w:val="22"/>
          <w:szCs w:val="22"/>
        </w:rPr>
        <w:t xml:space="preserve">It is noteworthy that </w:t>
      </w:r>
      <w:r w:rsidR="005B79B4" w:rsidRPr="007C6588">
        <w:rPr>
          <w:rFonts w:ascii="Arial" w:hAnsi="Arial" w:cs="Arial"/>
          <w:sz w:val="22"/>
          <w:szCs w:val="22"/>
        </w:rPr>
        <w:t>Rutland County Council</w:t>
      </w:r>
      <w:r w:rsidR="00B34DC6" w:rsidRPr="007C6588">
        <w:rPr>
          <w:rFonts w:ascii="Arial" w:hAnsi="Arial" w:cs="Arial"/>
          <w:sz w:val="22"/>
          <w:szCs w:val="22"/>
        </w:rPr>
        <w:t xml:space="preserve">’s health </w:t>
      </w:r>
      <w:r>
        <w:rPr>
          <w:rFonts w:ascii="Arial" w:hAnsi="Arial" w:cs="Arial"/>
          <w:sz w:val="22"/>
          <w:szCs w:val="22"/>
        </w:rPr>
        <w:t>overview and scrutiny committee</w:t>
      </w:r>
      <w:r w:rsidR="005B79B4" w:rsidRPr="007C6588">
        <w:rPr>
          <w:rFonts w:ascii="Arial" w:hAnsi="Arial" w:cs="Arial"/>
          <w:sz w:val="22"/>
          <w:szCs w:val="22"/>
        </w:rPr>
        <w:t xml:space="preserve"> </w:t>
      </w:r>
      <w:r w:rsidR="00243946">
        <w:rPr>
          <w:rFonts w:ascii="Arial" w:hAnsi="Arial" w:cs="Arial"/>
          <w:sz w:val="22"/>
          <w:szCs w:val="22"/>
        </w:rPr>
        <w:t xml:space="preserve">was </w:t>
      </w:r>
      <w:r w:rsidR="005B79B4" w:rsidRPr="007C6588">
        <w:rPr>
          <w:rFonts w:ascii="Arial" w:hAnsi="Arial" w:cs="Arial"/>
          <w:sz w:val="22"/>
          <w:szCs w:val="22"/>
        </w:rPr>
        <w:t>not consulted at this stage</w:t>
      </w:r>
      <w:r w:rsidR="00B34DC6" w:rsidRPr="00243946">
        <w:rPr>
          <w:rFonts w:ascii="Arial" w:hAnsi="Arial" w:cs="Arial"/>
          <w:sz w:val="22"/>
          <w:szCs w:val="22"/>
        </w:rPr>
        <w:t xml:space="preserve">. </w:t>
      </w:r>
      <w:r w:rsidRPr="00243946">
        <w:rPr>
          <w:rFonts w:ascii="Arial" w:hAnsi="Arial" w:cs="Arial"/>
          <w:sz w:val="22"/>
          <w:szCs w:val="22"/>
        </w:rPr>
        <w:t>It is also important to consider that the Joint Scrutiny Committee for Leicester, Leicestershire and Rutland has not yet had the opportunity to review the FBC as the local authority guidance (DoH 2014) requires as shown below:</w:t>
      </w:r>
    </w:p>
    <w:p w14:paraId="680EBC04" w14:textId="77777777" w:rsidR="0030169D" w:rsidRPr="00243946" w:rsidRDefault="0030169D" w:rsidP="00507361">
      <w:pPr>
        <w:spacing w:before="100" w:beforeAutospacing="1" w:after="100" w:afterAutospacing="1" w:line="360" w:lineRule="auto"/>
        <w:ind w:left="567" w:right="567"/>
        <w:rPr>
          <w:rFonts w:ascii="Times New Roman" w:hAnsi="Times New Roman" w:cs="Times New Roman"/>
          <w:sz w:val="22"/>
          <w:szCs w:val="22"/>
        </w:rPr>
      </w:pPr>
      <w:r w:rsidRPr="00243946">
        <w:rPr>
          <w:sz w:val="22"/>
          <w:szCs w:val="22"/>
        </w:rPr>
        <w:lastRenderedPageBreak/>
        <w:t xml:space="preserve">Regulation 30 also requires local authorities to appoint joint committees where a relevant NHS body or health service provider consults more than one local authority’s health scrutiny function about substantial reconfiguration proposals (referred to below as a mandatory joint health scrutiny committee).  In such circumstances, Regulation 30 sets out the following requirements (see section 4 on consultation below for more detail). </w:t>
      </w:r>
    </w:p>
    <w:p w14:paraId="184FCD4E" w14:textId="77777777" w:rsidR="0030169D" w:rsidRPr="00243946" w:rsidRDefault="0030169D" w:rsidP="00507361">
      <w:pPr>
        <w:numPr>
          <w:ilvl w:val="0"/>
          <w:numId w:val="36"/>
        </w:numPr>
        <w:spacing w:before="100" w:beforeAutospacing="1" w:after="100" w:afterAutospacing="1" w:line="360" w:lineRule="auto"/>
        <w:ind w:left="567" w:right="567"/>
        <w:rPr>
          <w:rFonts w:ascii="SymbolMT" w:hAnsi="SymbolMT" w:cs="Times New Roman" w:hint="eastAsia"/>
          <w:sz w:val="22"/>
          <w:szCs w:val="22"/>
        </w:rPr>
      </w:pPr>
      <w:r w:rsidRPr="00243946">
        <w:rPr>
          <w:sz w:val="22"/>
          <w:szCs w:val="22"/>
        </w:rPr>
        <w:t xml:space="preserve">Only the joint committee may respond to the consultation (i.e. rather than each individual local authority responding separately). </w:t>
      </w:r>
    </w:p>
    <w:p w14:paraId="347E268C" w14:textId="77777777" w:rsidR="0030169D" w:rsidRPr="00243946" w:rsidRDefault="0030169D" w:rsidP="00507361">
      <w:pPr>
        <w:numPr>
          <w:ilvl w:val="0"/>
          <w:numId w:val="37"/>
        </w:numPr>
        <w:spacing w:before="100" w:beforeAutospacing="1" w:after="100" w:afterAutospacing="1" w:line="360" w:lineRule="auto"/>
        <w:ind w:left="567" w:right="567"/>
        <w:rPr>
          <w:rFonts w:ascii="SymbolMT" w:hAnsi="SymbolMT" w:cs="Times New Roman" w:hint="eastAsia"/>
          <w:sz w:val="22"/>
          <w:szCs w:val="22"/>
        </w:rPr>
      </w:pPr>
      <w:r w:rsidRPr="00243946">
        <w:rPr>
          <w:sz w:val="22"/>
          <w:szCs w:val="22"/>
        </w:rPr>
        <w:t xml:space="preserve">Only the joint committee may exercise the power to require the provision of information by the relevant NHS body or health service provider about the proposal. </w:t>
      </w:r>
    </w:p>
    <w:p w14:paraId="752C030E" w14:textId="4F0EABB3" w:rsidR="0030169D" w:rsidRPr="00243946" w:rsidRDefault="0030169D" w:rsidP="00507361">
      <w:pPr>
        <w:numPr>
          <w:ilvl w:val="0"/>
          <w:numId w:val="38"/>
        </w:numPr>
        <w:spacing w:before="100" w:beforeAutospacing="1" w:after="100" w:afterAutospacing="1" w:line="360" w:lineRule="auto"/>
        <w:ind w:left="567" w:right="567"/>
        <w:rPr>
          <w:rFonts w:ascii="SymbolMT" w:hAnsi="SymbolMT" w:cs="Times New Roman" w:hint="eastAsia"/>
          <w:sz w:val="22"/>
          <w:szCs w:val="22"/>
          <w:lang w:val="en-US"/>
        </w:rPr>
      </w:pPr>
      <w:r w:rsidRPr="00243946">
        <w:rPr>
          <w:sz w:val="22"/>
          <w:szCs w:val="22"/>
        </w:rPr>
        <w:t>Only the joint committee may exercise the power to require members or employees of the relevant NHS body or health service provider to attend before it to answer questions in connection with the consultation</w:t>
      </w:r>
      <w:r w:rsidRPr="00243946">
        <w:rPr>
          <w:sz w:val="22"/>
          <w:szCs w:val="22"/>
          <w:vertAlign w:val="superscript"/>
        </w:rPr>
        <w:footnoteReference w:id="10"/>
      </w:r>
      <w:r w:rsidRPr="00243946">
        <w:rPr>
          <w:sz w:val="22"/>
          <w:szCs w:val="22"/>
        </w:rPr>
        <w:t xml:space="preserve"> (p17).</w:t>
      </w:r>
    </w:p>
    <w:p w14:paraId="7EA1FCEC" w14:textId="4A4E6353" w:rsidR="00521F78" w:rsidRPr="00E408B2" w:rsidRDefault="007C6588" w:rsidP="00521F78">
      <w:pPr>
        <w:spacing w:line="360" w:lineRule="auto"/>
        <w:ind w:left="397"/>
        <w:rPr>
          <w:sz w:val="22"/>
          <w:szCs w:val="22"/>
        </w:rPr>
      </w:pPr>
      <w:r>
        <w:rPr>
          <w:sz w:val="22"/>
          <w:szCs w:val="22"/>
        </w:rPr>
        <w:t xml:space="preserve">Despite the </w:t>
      </w:r>
      <w:r w:rsidRPr="00521F78">
        <w:rPr>
          <w:sz w:val="22"/>
          <w:szCs w:val="22"/>
        </w:rPr>
        <w:t xml:space="preserve">expressions of urgency in 2015, </w:t>
      </w:r>
      <w:r w:rsidR="009D27CC" w:rsidRPr="00521F78">
        <w:rPr>
          <w:sz w:val="22"/>
          <w:szCs w:val="22"/>
        </w:rPr>
        <w:t xml:space="preserve">ICU </w:t>
      </w:r>
      <w:r w:rsidR="005B79B4" w:rsidRPr="00521F78">
        <w:rPr>
          <w:sz w:val="22"/>
          <w:szCs w:val="22"/>
        </w:rPr>
        <w:t xml:space="preserve">level </w:t>
      </w:r>
      <w:r w:rsidR="009B73B1" w:rsidRPr="00521F78">
        <w:rPr>
          <w:sz w:val="22"/>
          <w:szCs w:val="22"/>
        </w:rPr>
        <w:t>3</w:t>
      </w:r>
      <w:r w:rsidR="005B79B4" w:rsidRPr="00521F78">
        <w:rPr>
          <w:sz w:val="22"/>
          <w:szCs w:val="22"/>
        </w:rPr>
        <w:t xml:space="preserve"> beds at LGH remain </w:t>
      </w:r>
      <w:r w:rsidR="009D27CC" w:rsidRPr="00521F78">
        <w:rPr>
          <w:sz w:val="22"/>
          <w:szCs w:val="22"/>
        </w:rPr>
        <w:t>open</w:t>
      </w:r>
      <w:r w:rsidR="00F2709C" w:rsidRPr="00521F78">
        <w:rPr>
          <w:sz w:val="22"/>
          <w:szCs w:val="22"/>
        </w:rPr>
        <w:t xml:space="preserve"> at the time of writing </w:t>
      </w:r>
      <w:r w:rsidR="001E55BB" w:rsidRPr="00521F78">
        <w:rPr>
          <w:sz w:val="22"/>
          <w:szCs w:val="22"/>
        </w:rPr>
        <w:t>–</w:t>
      </w:r>
      <w:r w:rsidR="009D27CC" w:rsidRPr="00521F78">
        <w:rPr>
          <w:sz w:val="22"/>
          <w:szCs w:val="22"/>
        </w:rPr>
        <w:t xml:space="preserve"> </w:t>
      </w:r>
      <w:r w:rsidR="001E55BB" w:rsidRPr="00521F78">
        <w:rPr>
          <w:sz w:val="22"/>
          <w:szCs w:val="22"/>
        </w:rPr>
        <w:t xml:space="preserve">over </w:t>
      </w:r>
      <w:r w:rsidR="009D27CC" w:rsidRPr="00521F78">
        <w:rPr>
          <w:sz w:val="22"/>
          <w:szCs w:val="22"/>
        </w:rPr>
        <w:t>three years later.</w:t>
      </w:r>
      <w:r w:rsidR="00903438" w:rsidRPr="00521F78">
        <w:rPr>
          <w:sz w:val="22"/>
          <w:szCs w:val="22"/>
        </w:rPr>
        <w:t xml:space="preserve"> </w:t>
      </w:r>
      <w:r w:rsidR="009D27CC" w:rsidRPr="00521F78">
        <w:rPr>
          <w:sz w:val="22"/>
          <w:szCs w:val="22"/>
        </w:rPr>
        <w:t xml:space="preserve"> </w:t>
      </w:r>
      <w:r w:rsidR="00903438" w:rsidRPr="00521F78">
        <w:rPr>
          <w:sz w:val="22"/>
          <w:szCs w:val="22"/>
        </w:rPr>
        <w:t>M</w:t>
      </w:r>
      <w:r w:rsidR="009D27CC" w:rsidRPr="00521F78">
        <w:rPr>
          <w:sz w:val="22"/>
          <w:szCs w:val="22"/>
        </w:rPr>
        <w:t>itigations</w:t>
      </w:r>
      <w:r w:rsidR="00903438" w:rsidRPr="00521F78">
        <w:rPr>
          <w:sz w:val="22"/>
          <w:szCs w:val="22"/>
        </w:rPr>
        <w:t xml:space="preserve"> must</w:t>
      </w:r>
      <w:r w:rsidR="009D27CC" w:rsidRPr="00521F78">
        <w:rPr>
          <w:sz w:val="22"/>
          <w:szCs w:val="22"/>
        </w:rPr>
        <w:t xml:space="preserve"> </w:t>
      </w:r>
      <w:r w:rsidR="00262552" w:rsidRPr="00521F78">
        <w:rPr>
          <w:sz w:val="22"/>
          <w:szCs w:val="22"/>
        </w:rPr>
        <w:t>have ensured continued patient safety and</w:t>
      </w:r>
      <w:r w:rsidR="00445429" w:rsidRPr="00521F78">
        <w:rPr>
          <w:sz w:val="22"/>
          <w:szCs w:val="22"/>
        </w:rPr>
        <w:t>, in this context,</w:t>
      </w:r>
      <w:r w:rsidR="005B79B4" w:rsidRPr="00521F78">
        <w:rPr>
          <w:sz w:val="22"/>
          <w:szCs w:val="22"/>
        </w:rPr>
        <w:t xml:space="preserve"> UHL </w:t>
      </w:r>
      <w:r w:rsidR="00262552" w:rsidRPr="00521F78">
        <w:rPr>
          <w:sz w:val="22"/>
          <w:szCs w:val="22"/>
        </w:rPr>
        <w:t xml:space="preserve">has had </w:t>
      </w:r>
      <w:r w:rsidR="005B79B4" w:rsidRPr="00521F78">
        <w:rPr>
          <w:sz w:val="22"/>
          <w:szCs w:val="22"/>
        </w:rPr>
        <w:t>plenty of time</w:t>
      </w:r>
      <w:r w:rsidR="00445429" w:rsidRPr="00521F78">
        <w:rPr>
          <w:sz w:val="22"/>
          <w:szCs w:val="22"/>
        </w:rPr>
        <w:t xml:space="preserve"> </w:t>
      </w:r>
      <w:r w:rsidR="00262552" w:rsidRPr="00521F78">
        <w:rPr>
          <w:sz w:val="22"/>
          <w:szCs w:val="22"/>
        </w:rPr>
        <w:t xml:space="preserve">to consult the public. </w:t>
      </w:r>
      <w:r w:rsidR="00F864ED" w:rsidRPr="00521F78">
        <w:rPr>
          <w:sz w:val="22"/>
          <w:szCs w:val="22"/>
        </w:rPr>
        <w:t xml:space="preserve"> </w:t>
      </w:r>
      <w:r w:rsidR="00C52308" w:rsidRPr="00521F78">
        <w:rPr>
          <w:sz w:val="22"/>
          <w:szCs w:val="22"/>
        </w:rPr>
        <w:t>Clearly, plans have evolved and developed since 2015.</w:t>
      </w:r>
      <w:r w:rsidR="00262552" w:rsidRPr="00521F78">
        <w:rPr>
          <w:sz w:val="22"/>
          <w:szCs w:val="22"/>
        </w:rPr>
        <w:t xml:space="preserve"> </w:t>
      </w:r>
      <w:r w:rsidR="00903438" w:rsidRPr="00521F78">
        <w:rPr>
          <w:sz w:val="22"/>
          <w:szCs w:val="22"/>
        </w:rPr>
        <w:t xml:space="preserve"> </w:t>
      </w:r>
      <w:r w:rsidR="00262552" w:rsidRPr="00521F78">
        <w:rPr>
          <w:sz w:val="22"/>
          <w:szCs w:val="22"/>
        </w:rPr>
        <w:t xml:space="preserve">To date, </w:t>
      </w:r>
      <w:r w:rsidR="00B916FB" w:rsidRPr="00521F78">
        <w:rPr>
          <w:sz w:val="22"/>
          <w:szCs w:val="22"/>
        </w:rPr>
        <w:t xml:space="preserve">it appears that </w:t>
      </w:r>
      <w:r w:rsidR="00262552" w:rsidRPr="00521F78">
        <w:rPr>
          <w:sz w:val="22"/>
          <w:szCs w:val="22"/>
        </w:rPr>
        <w:t>consultation</w:t>
      </w:r>
      <w:r w:rsidRPr="00521F78">
        <w:rPr>
          <w:sz w:val="22"/>
          <w:szCs w:val="22"/>
        </w:rPr>
        <w:t xml:space="preserve"> since 2015</w:t>
      </w:r>
      <w:r w:rsidR="00262552" w:rsidRPr="00521F78">
        <w:rPr>
          <w:sz w:val="22"/>
          <w:szCs w:val="22"/>
        </w:rPr>
        <w:t xml:space="preserve"> has been </w:t>
      </w:r>
      <w:r w:rsidR="00B916FB" w:rsidRPr="00521F78">
        <w:rPr>
          <w:sz w:val="22"/>
          <w:szCs w:val="22"/>
        </w:rPr>
        <w:t xml:space="preserve">confined </w:t>
      </w:r>
      <w:r w:rsidR="00903438" w:rsidRPr="00521F78">
        <w:rPr>
          <w:sz w:val="22"/>
          <w:szCs w:val="22"/>
        </w:rPr>
        <w:t xml:space="preserve">to </w:t>
      </w:r>
      <w:r w:rsidR="00262552" w:rsidRPr="00521F78">
        <w:rPr>
          <w:sz w:val="22"/>
          <w:szCs w:val="22"/>
        </w:rPr>
        <w:t>the presentation of the plans to Rutland Adult Health and Scrutiny Committee in April 2018</w:t>
      </w:r>
      <w:r w:rsidR="00C86362" w:rsidRPr="00521F78">
        <w:rPr>
          <w:sz w:val="22"/>
          <w:szCs w:val="22"/>
        </w:rPr>
        <w:t xml:space="preserve"> and </w:t>
      </w:r>
      <w:r w:rsidR="00436250" w:rsidRPr="00521F78">
        <w:rPr>
          <w:sz w:val="22"/>
          <w:szCs w:val="22"/>
        </w:rPr>
        <w:t>to</w:t>
      </w:r>
      <w:r w:rsidR="00C86362" w:rsidRPr="00521F78">
        <w:rPr>
          <w:sz w:val="22"/>
          <w:szCs w:val="22"/>
        </w:rPr>
        <w:t xml:space="preserve"> those members of Healthwatch or UHL’s Patient Partners who have attended</w:t>
      </w:r>
      <w:r w:rsidR="00B916FB" w:rsidRPr="00521F78">
        <w:rPr>
          <w:sz w:val="22"/>
          <w:szCs w:val="22"/>
        </w:rPr>
        <w:t xml:space="preserve"> project meetings</w:t>
      </w:r>
      <w:r w:rsidR="00436250" w:rsidRPr="00521F78">
        <w:rPr>
          <w:sz w:val="22"/>
          <w:szCs w:val="22"/>
        </w:rPr>
        <w:t xml:space="preserve"> – a very select group</w:t>
      </w:r>
      <w:r w:rsidR="00262552" w:rsidRPr="0063375A">
        <w:rPr>
          <w:sz w:val="22"/>
          <w:szCs w:val="22"/>
        </w:rPr>
        <w:t xml:space="preserve">. </w:t>
      </w:r>
      <w:r w:rsidR="00521F78" w:rsidRPr="0063375A">
        <w:rPr>
          <w:sz w:val="22"/>
          <w:szCs w:val="22"/>
          <w:lang w:val="en-US"/>
        </w:rPr>
        <w:t xml:space="preserve">The full business case refers to the engagement of patients and patient partner representatives in the design </w:t>
      </w:r>
      <w:r w:rsidR="00521F78" w:rsidRPr="00E408B2">
        <w:rPr>
          <w:sz w:val="22"/>
          <w:szCs w:val="22"/>
          <w:lang w:val="en-US"/>
        </w:rPr>
        <w:t xml:space="preserve">process; </w:t>
      </w:r>
      <w:r w:rsidR="00E408B2" w:rsidRPr="00E408B2">
        <w:rPr>
          <w:color w:val="262626"/>
          <w:sz w:val="22"/>
          <w:szCs w:val="22"/>
          <w:lang w:val="en-US"/>
        </w:rPr>
        <w:t xml:space="preserve">these make no reference to the engagement of patients in the wider implications of the removal of ICU from Leicester General Hospital. </w:t>
      </w:r>
    </w:p>
    <w:p w14:paraId="2EDD2F9D" w14:textId="77777777" w:rsidR="00521F78" w:rsidRPr="0063375A" w:rsidRDefault="00521F78" w:rsidP="00521F78">
      <w:pPr>
        <w:spacing w:line="360" w:lineRule="auto"/>
        <w:ind w:left="397"/>
        <w:rPr>
          <w:sz w:val="22"/>
          <w:szCs w:val="22"/>
        </w:rPr>
      </w:pPr>
    </w:p>
    <w:p w14:paraId="3E0F20F1" w14:textId="2770D662" w:rsidR="00521F78" w:rsidRPr="0063375A" w:rsidRDefault="00521F78" w:rsidP="00521F78">
      <w:pPr>
        <w:spacing w:line="360" w:lineRule="auto"/>
        <w:ind w:left="567" w:right="567"/>
        <w:rPr>
          <w:color w:val="262626"/>
          <w:sz w:val="22"/>
          <w:szCs w:val="22"/>
          <w:lang w:val="en-US"/>
        </w:rPr>
      </w:pPr>
      <w:r w:rsidRPr="0063375A">
        <w:rPr>
          <w:color w:val="262626"/>
          <w:sz w:val="22"/>
          <w:szCs w:val="22"/>
          <w:lang w:val="en-US"/>
        </w:rPr>
        <w:t xml:space="preserve">“Patients currently staying on HPB and Transplant wards at the LGH have been engaged with regards to the proposed designs at 1:200 levels. Constructive comments have been made which will inform the next stage of the design process, particularly in relation to day / dining spaces within </w:t>
      </w:r>
      <w:r w:rsidRPr="0063375A">
        <w:rPr>
          <w:color w:val="262626"/>
          <w:sz w:val="22"/>
          <w:szCs w:val="22"/>
          <w:lang w:val="en-US"/>
        </w:rPr>
        <w:lastRenderedPageBreak/>
        <w:t>bays, accessing bathroom facilities from the bay and the most suitable configuration of the four beds within a bay.” (p40)</w:t>
      </w:r>
    </w:p>
    <w:p w14:paraId="656F87F4" w14:textId="77777777" w:rsidR="00521F78" w:rsidRPr="0063375A" w:rsidRDefault="00521F78" w:rsidP="00521F78">
      <w:pPr>
        <w:spacing w:line="360" w:lineRule="auto"/>
        <w:ind w:left="567" w:right="567"/>
        <w:rPr>
          <w:color w:val="262626"/>
          <w:sz w:val="22"/>
          <w:szCs w:val="22"/>
          <w:lang w:val="en-US"/>
        </w:rPr>
      </w:pPr>
    </w:p>
    <w:p w14:paraId="02BF83A5" w14:textId="77777777" w:rsidR="00521F78" w:rsidRPr="0063375A" w:rsidRDefault="00521F78" w:rsidP="00521F78">
      <w:pPr>
        <w:pStyle w:val="Default"/>
        <w:spacing w:line="360" w:lineRule="auto"/>
        <w:ind w:left="567" w:right="567"/>
        <w:rPr>
          <w:color w:val="002060"/>
          <w:sz w:val="22"/>
          <w:szCs w:val="22"/>
        </w:rPr>
      </w:pPr>
      <w:r w:rsidRPr="0063375A">
        <w:rPr>
          <w:color w:val="002060"/>
          <w:sz w:val="22"/>
          <w:szCs w:val="22"/>
        </w:rPr>
        <w:t>“</w:t>
      </w:r>
      <w:r w:rsidRPr="0063375A">
        <w:rPr>
          <w:color w:val="auto"/>
          <w:sz w:val="22"/>
          <w:szCs w:val="22"/>
        </w:rPr>
        <w:t xml:space="preserve">Patient Partner representatives </w:t>
      </w:r>
    </w:p>
    <w:p w14:paraId="082A08EB" w14:textId="77777777" w:rsidR="00521F78" w:rsidRPr="0063375A" w:rsidRDefault="00521F78" w:rsidP="00521F78">
      <w:pPr>
        <w:pStyle w:val="Default"/>
        <w:spacing w:line="360" w:lineRule="auto"/>
        <w:ind w:left="567" w:right="567"/>
        <w:rPr>
          <w:sz w:val="22"/>
          <w:szCs w:val="22"/>
        </w:rPr>
      </w:pPr>
      <w:r w:rsidRPr="0063375A">
        <w:rPr>
          <w:sz w:val="22"/>
          <w:szCs w:val="22"/>
        </w:rPr>
        <w:t xml:space="preserve">Throughout the detailed design process patient representation has been a key component of the output. The 1:200 design incorporated patient comments in relation to certain aspects of the design. These were taken on board and the design adapted. At the detailed design further comments were made and again included, as the clinical team felt they were valid: </w:t>
      </w:r>
    </w:p>
    <w:p w14:paraId="4FA4C6C9" w14:textId="77777777" w:rsidR="00521F78" w:rsidRPr="0063375A" w:rsidRDefault="00521F78" w:rsidP="00521F78">
      <w:pPr>
        <w:pStyle w:val="Default"/>
        <w:spacing w:line="360" w:lineRule="auto"/>
        <w:ind w:left="567" w:right="567"/>
        <w:rPr>
          <w:sz w:val="22"/>
          <w:szCs w:val="22"/>
        </w:rPr>
      </w:pPr>
      <w:r w:rsidRPr="0063375A">
        <w:rPr>
          <w:sz w:val="22"/>
          <w:szCs w:val="22"/>
        </w:rPr>
        <w:t xml:space="preserve">• Ability to access information easily within the ward area e.g. menu racks at each bedside, clear forms of communication media/signage </w:t>
      </w:r>
    </w:p>
    <w:p w14:paraId="7F6AEC51" w14:textId="77777777" w:rsidR="00521F78" w:rsidRPr="0063375A" w:rsidRDefault="00521F78" w:rsidP="00521F78">
      <w:pPr>
        <w:pStyle w:val="Default"/>
        <w:spacing w:line="360" w:lineRule="auto"/>
        <w:ind w:left="567" w:right="567"/>
        <w:rPr>
          <w:sz w:val="22"/>
          <w:szCs w:val="22"/>
        </w:rPr>
      </w:pPr>
      <w:r w:rsidRPr="0063375A">
        <w:rPr>
          <w:sz w:val="22"/>
          <w:szCs w:val="22"/>
        </w:rPr>
        <w:t xml:space="preserve">• Entertainment/Information points in waiting areas – TV’s, Digital information displays will be provided </w:t>
      </w:r>
    </w:p>
    <w:p w14:paraId="43F8D224" w14:textId="77777777" w:rsidR="00521F78" w:rsidRPr="0063375A" w:rsidRDefault="00521F78" w:rsidP="00521F78">
      <w:pPr>
        <w:pStyle w:val="Default"/>
        <w:spacing w:line="360" w:lineRule="auto"/>
        <w:ind w:left="567" w:right="567"/>
        <w:rPr>
          <w:sz w:val="22"/>
          <w:szCs w:val="22"/>
        </w:rPr>
      </w:pPr>
      <w:r w:rsidRPr="0063375A">
        <w:rPr>
          <w:sz w:val="22"/>
          <w:szCs w:val="22"/>
        </w:rPr>
        <w:t xml:space="preserve">• Clear signage both within the wider site and within the ward areas must be clear and relevant – a signage programme will be undertaken as a package across the Programme adhering to both NHS and existing Glenfield Hospital guidelines.” (p134) </w:t>
      </w:r>
    </w:p>
    <w:p w14:paraId="56B67A5A" w14:textId="361B8036" w:rsidR="00E74539" w:rsidRPr="0063375A" w:rsidRDefault="00262552" w:rsidP="00521F78">
      <w:pPr>
        <w:pStyle w:val="NormalWeb"/>
        <w:spacing w:line="360" w:lineRule="auto"/>
        <w:rPr>
          <w:rFonts w:ascii="Arial" w:hAnsi="Arial" w:cs="Arial"/>
          <w:sz w:val="22"/>
          <w:szCs w:val="22"/>
        </w:rPr>
      </w:pPr>
      <w:r w:rsidRPr="0063375A">
        <w:rPr>
          <w:rFonts w:ascii="Arial" w:hAnsi="Arial" w:cs="Arial"/>
          <w:sz w:val="22"/>
          <w:szCs w:val="22"/>
        </w:rPr>
        <w:t xml:space="preserve">Therefore, the duty to consult </w:t>
      </w:r>
      <w:r w:rsidR="00B916FB" w:rsidRPr="0063375A">
        <w:rPr>
          <w:rFonts w:ascii="Arial" w:hAnsi="Arial" w:cs="Arial"/>
          <w:sz w:val="22"/>
          <w:szCs w:val="22"/>
        </w:rPr>
        <w:t xml:space="preserve">the public </w:t>
      </w:r>
      <w:r w:rsidR="00372049" w:rsidRPr="0063375A">
        <w:rPr>
          <w:rFonts w:ascii="Arial" w:hAnsi="Arial" w:cs="Arial"/>
          <w:sz w:val="22"/>
          <w:szCs w:val="22"/>
        </w:rPr>
        <w:t xml:space="preserve">formally and </w:t>
      </w:r>
      <w:r w:rsidR="00B916FB" w:rsidRPr="0063375A">
        <w:rPr>
          <w:rFonts w:ascii="Arial" w:hAnsi="Arial" w:cs="Arial"/>
          <w:sz w:val="22"/>
          <w:szCs w:val="22"/>
        </w:rPr>
        <w:t>more extensively</w:t>
      </w:r>
      <w:r w:rsidR="00436250" w:rsidRPr="0063375A">
        <w:rPr>
          <w:rFonts w:ascii="Arial" w:hAnsi="Arial" w:cs="Arial"/>
          <w:sz w:val="22"/>
          <w:szCs w:val="22"/>
        </w:rPr>
        <w:t xml:space="preserve"> as required</w:t>
      </w:r>
      <w:r w:rsidR="00B916FB" w:rsidRPr="0063375A">
        <w:rPr>
          <w:rFonts w:ascii="Arial" w:hAnsi="Arial" w:cs="Arial"/>
          <w:sz w:val="22"/>
          <w:szCs w:val="22"/>
        </w:rPr>
        <w:t xml:space="preserve"> </w:t>
      </w:r>
      <w:r w:rsidRPr="0063375A">
        <w:rPr>
          <w:rFonts w:ascii="Arial" w:hAnsi="Arial" w:cs="Arial"/>
          <w:sz w:val="22"/>
          <w:szCs w:val="22"/>
        </w:rPr>
        <w:t xml:space="preserve">appears to have been </w:t>
      </w:r>
      <w:r w:rsidR="00A7383B" w:rsidRPr="0063375A">
        <w:rPr>
          <w:rFonts w:ascii="Arial" w:hAnsi="Arial" w:cs="Arial"/>
          <w:sz w:val="22"/>
          <w:szCs w:val="22"/>
        </w:rPr>
        <w:t>sidestepped</w:t>
      </w:r>
      <w:r w:rsidRPr="0063375A">
        <w:rPr>
          <w:rFonts w:ascii="Arial" w:hAnsi="Arial" w:cs="Arial"/>
          <w:sz w:val="22"/>
          <w:szCs w:val="22"/>
        </w:rPr>
        <w:t>.</w:t>
      </w:r>
    </w:p>
    <w:p w14:paraId="341F5EC7" w14:textId="77777777" w:rsidR="00585AD7" w:rsidRPr="0063375A" w:rsidRDefault="001B733B" w:rsidP="00507361">
      <w:pPr>
        <w:pStyle w:val="NormalWeb"/>
        <w:spacing w:line="360" w:lineRule="auto"/>
        <w:rPr>
          <w:rFonts w:ascii="Arial" w:hAnsi="Arial" w:cs="Arial"/>
          <w:color w:val="0D0D0D" w:themeColor="text1" w:themeTint="F2"/>
          <w:sz w:val="22"/>
          <w:szCs w:val="22"/>
        </w:rPr>
      </w:pPr>
      <w:r w:rsidRPr="0063375A">
        <w:rPr>
          <w:rFonts w:ascii="Arial" w:hAnsi="Arial" w:cs="Arial"/>
          <w:color w:val="0D0D0D" w:themeColor="text1" w:themeTint="F2"/>
          <w:sz w:val="22"/>
          <w:szCs w:val="22"/>
        </w:rPr>
        <w:t>Furthermor</w:t>
      </w:r>
      <w:r w:rsidR="00585AD7" w:rsidRPr="0063375A">
        <w:rPr>
          <w:rFonts w:ascii="Arial" w:hAnsi="Arial" w:cs="Arial"/>
          <w:color w:val="0D0D0D" w:themeColor="text1" w:themeTint="F2"/>
          <w:sz w:val="22"/>
          <w:szCs w:val="22"/>
        </w:rPr>
        <w:t>e, the FBC acknowledges:</w:t>
      </w:r>
    </w:p>
    <w:p w14:paraId="70EA7A13" w14:textId="1C3D3678" w:rsidR="00585AD7" w:rsidRPr="0063375A" w:rsidRDefault="00585AD7" w:rsidP="00507361">
      <w:pPr>
        <w:pStyle w:val="NormalWeb"/>
        <w:spacing w:line="360" w:lineRule="auto"/>
        <w:ind w:left="567" w:right="567"/>
        <w:rPr>
          <w:rFonts w:ascii="Arial" w:hAnsi="Arial" w:cs="Arial"/>
          <w:color w:val="0D0D0D" w:themeColor="text1" w:themeTint="F2"/>
          <w:sz w:val="22"/>
          <w:szCs w:val="22"/>
        </w:rPr>
      </w:pPr>
      <w:r w:rsidRPr="0063375A">
        <w:rPr>
          <w:rFonts w:ascii="Arial" w:hAnsi="Arial" w:cs="Arial"/>
          <w:color w:val="0D0D0D" w:themeColor="text1" w:themeTint="F2"/>
          <w:sz w:val="22"/>
          <w:szCs w:val="22"/>
        </w:rPr>
        <w:t xml:space="preserve">The STP identifies the essential need for University Hospitals of Leicester NHS Trust … to consolidate onto two acute sites to deliver its clinical reconfiguration strategy, whilst enabling the disposal of the majority of the Leicester General Hospital (LGH) site which is directly linked to returning the Trust to financial balance (p15). </w:t>
      </w:r>
    </w:p>
    <w:p w14:paraId="0099F7AB" w14:textId="68F76769" w:rsidR="00536F88" w:rsidRPr="00A70BED" w:rsidRDefault="00585AD7" w:rsidP="00507361">
      <w:pPr>
        <w:pStyle w:val="NormalWeb"/>
        <w:spacing w:line="360" w:lineRule="auto"/>
        <w:rPr>
          <w:rFonts w:ascii="Arial" w:hAnsi="Arial" w:cs="Arial"/>
          <w:color w:val="0D0D0D" w:themeColor="text1" w:themeTint="F2"/>
          <w:sz w:val="22"/>
          <w:szCs w:val="22"/>
        </w:rPr>
      </w:pPr>
      <w:r w:rsidRPr="0063375A">
        <w:rPr>
          <w:rFonts w:ascii="Arial" w:hAnsi="Arial" w:cs="Arial"/>
          <w:color w:val="0D0D0D" w:themeColor="text1" w:themeTint="F2"/>
          <w:sz w:val="22"/>
          <w:szCs w:val="22"/>
        </w:rPr>
        <w:t xml:space="preserve">The draft Sustainability and Transformation Plan </w:t>
      </w:r>
      <w:r w:rsidR="003459FB" w:rsidRPr="0063375A">
        <w:rPr>
          <w:rFonts w:ascii="Arial" w:hAnsi="Arial" w:cs="Arial"/>
          <w:color w:val="0D0D0D" w:themeColor="text1" w:themeTint="F2"/>
          <w:sz w:val="22"/>
          <w:szCs w:val="22"/>
        </w:rPr>
        <w:t>(STP)</w:t>
      </w:r>
      <w:r w:rsidR="00445429" w:rsidRPr="0063375A">
        <w:rPr>
          <w:rStyle w:val="FootnoteReference"/>
          <w:rFonts w:ascii="Arial" w:hAnsi="Arial" w:cs="Arial"/>
          <w:color w:val="0D0D0D" w:themeColor="text1" w:themeTint="F2"/>
          <w:sz w:val="22"/>
          <w:szCs w:val="22"/>
        </w:rPr>
        <w:footnoteReference w:id="11"/>
      </w:r>
      <w:r w:rsidR="003459FB" w:rsidRPr="0063375A">
        <w:rPr>
          <w:rFonts w:ascii="Arial" w:hAnsi="Arial" w:cs="Arial"/>
          <w:color w:val="0D0D0D" w:themeColor="text1" w:themeTint="F2"/>
          <w:sz w:val="22"/>
          <w:szCs w:val="22"/>
        </w:rPr>
        <w:t xml:space="preserve"> </w:t>
      </w:r>
      <w:r w:rsidRPr="0063375A">
        <w:rPr>
          <w:rFonts w:ascii="Arial" w:hAnsi="Arial" w:cs="Arial"/>
          <w:color w:val="0D0D0D" w:themeColor="text1" w:themeTint="F2"/>
          <w:sz w:val="22"/>
          <w:szCs w:val="22"/>
        </w:rPr>
        <w:t>for Leicester</w:t>
      </w:r>
      <w:r w:rsidR="003459FB" w:rsidRPr="0063375A">
        <w:rPr>
          <w:rFonts w:ascii="Arial" w:hAnsi="Arial" w:cs="Arial"/>
          <w:color w:val="0D0D0D" w:themeColor="text1" w:themeTint="F2"/>
          <w:sz w:val="22"/>
          <w:szCs w:val="22"/>
        </w:rPr>
        <w:t>, Leicestershire and Rutland was publis</w:t>
      </w:r>
      <w:r w:rsidR="0081612A" w:rsidRPr="0063375A">
        <w:rPr>
          <w:rFonts w:ascii="Arial" w:hAnsi="Arial" w:cs="Arial"/>
          <w:color w:val="0D0D0D" w:themeColor="text1" w:themeTint="F2"/>
          <w:sz w:val="22"/>
          <w:szCs w:val="22"/>
        </w:rPr>
        <w:t>hed towards the end of 2016</w:t>
      </w:r>
      <w:r w:rsidR="001C7C49" w:rsidRPr="0063375A">
        <w:rPr>
          <w:rFonts w:ascii="Arial" w:hAnsi="Arial" w:cs="Arial"/>
          <w:color w:val="0D0D0D" w:themeColor="text1" w:themeTint="F2"/>
          <w:sz w:val="22"/>
          <w:szCs w:val="22"/>
        </w:rPr>
        <w:t xml:space="preserve"> and was based in part on the prior</w:t>
      </w:r>
      <w:r w:rsidR="0081612A" w:rsidRPr="0063375A">
        <w:rPr>
          <w:rFonts w:ascii="Arial" w:hAnsi="Arial" w:cs="Arial"/>
          <w:color w:val="0D0D0D" w:themeColor="text1" w:themeTint="F2"/>
          <w:sz w:val="22"/>
          <w:szCs w:val="22"/>
        </w:rPr>
        <w:t xml:space="preserve"> </w:t>
      </w:r>
      <w:r w:rsidR="00E51254" w:rsidRPr="0063375A">
        <w:rPr>
          <w:rFonts w:ascii="Arial" w:hAnsi="Arial" w:cs="Arial"/>
          <w:color w:val="0D0D0D" w:themeColor="text1" w:themeTint="F2"/>
          <w:sz w:val="22"/>
          <w:szCs w:val="22"/>
        </w:rPr>
        <w:t>Better Care Together p</w:t>
      </w:r>
      <w:r w:rsidR="00436250" w:rsidRPr="0063375A">
        <w:rPr>
          <w:rFonts w:ascii="Arial" w:hAnsi="Arial" w:cs="Arial"/>
          <w:color w:val="0D0D0D" w:themeColor="text1" w:themeTint="F2"/>
          <w:sz w:val="22"/>
          <w:szCs w:val="22"/>
        </w:rPr>
        <w:t>lan.  As the</w:t>
      </w:r>
      <w:r w:rsidR="0081612A" w:rsidRPr="0063375A">
        <w:rPr>
          <w:rFonts w:ascii="Arial" w:hAnsi="Arial" w:cs="Arial"/>
          <w:color w:val="0D0D0D" w:themeColor="text1" w:themeTint="F2"/>
          <w:sz w:val="22"/>
          <w:szCs w:val="22"/>
        </w:rPr>
        <w:t xml:space="preserve"> FBC</w:t>
      </w:r>
      <w:r w:rsidR="00436250" w:rsidRPr="0063375A">
        <w:rPr>
          <w:rFonts w:ascii="Arial" w:hAnsi="Arial" w:cs="Arial"/>
          <w:color w:val="0D0D0D" w:themeColor="text1" w:themeTint="F2"/>
          <w:sz w:val="22"/>
          <w:szCs w:val="22"/>
        </w:rPr>
        <w:t xml:space="preserve"> acknowledges, the STP</w:t>
      </w:r>
      <w:r w:rsidR="0081612A" w:rsidRPr="0063375A">
        <w:rPr>
          <w:rFonts w:ascii="Arial" w:hAnsi="Arial" w:cs="Arial"/>
          <w:color w:val="0D0D0D" w:themeColor="text1" w:themeTint="F2"/>
          <w:sz w:val="22"/>
          <w:szCs w:val="22"/>
        </w:rPr>
        <w:t xml:space="preserve"> </w:t>
      </w:r>
      <w:r w:rsidR="00436250" w:rsidRPr="0063375A">
        <w:rPr>
          <w:rFonts w:ascii="Arial" w:hAnsi="Arial" w:cs="Arial"/>
          <w:color w:val="0D0D0D" w:themeColor="text1" w:themeTint="F2"/>
          <w:sz w:val="22"/>
          <w:szCs w:val="22"/>
        </w:rPr>
        <w:t xml:space="preserve">includes </w:t>
      </w:r>
      <w:r w:rsidR="002D34E7" w:rsidRPr="0063375A">
        <w:rPr>
          <w:rFonts w:ascii="Arial" w:hAnsi="Arial" w:cs="Arial"/>
          <w:color w:val="0D0D0D" w:themeColor="text1" w:themeTint="F2"/>
          <w:sz w:val="22"/>
          <w:szCs w:val="22"/>
        </w:rPr>
        <w:t xml:space="preserve">the </w:t>
      </w:r>
      <w:r w:rsidR="00A12B9A" w:rsidRPr="0063375A">
        <w:rPr>
          <w:rFonts w:ascii="Arial" w:hAnsi="Arial" w:cs="Arial"/>
          <w:color w:val="0D0D0D" w:themeColor="text1" w:themeTint="F2"/>
          <w:sz w:val="22"/>
          <w:szCs w:val="22"/>
        </w:rPr>
        <w:t>proposal</w:t>
      </w:r>
      <w:r w:rsidR="003459FB" w:rsidRPr="0063375A">
        <w:rPr>
          <w:rFonts w:ascii="Arial" w:hAnsi="Arial" w:cs="Arial"/>
          <w:color w:val="0D0D0D" w:themeColor="text1" w:themeTint="F2"/>
          <w:sz w:val="22"/>
          <w:szCs w:val="22"/>
        </w:rPr>
        <w:t xml:space="preserve"> to</w:t>
      </w:r>
      <w:r w:rsidR="0081612A" w:rsidRPr="0063375A">
        <w:rPr>
          <w:rFonts w:ascii="Arial" w:hAnsi="Arial" w:cs="Arial"/>
          <w:color w:val="0D0D0D" w:themeColor="text1" w:themeTint="F2"/>
          <w:sz w:val="22"/>
          <w:szCs w:val="22"/>
        </w:rPr>
        <w:t xml:space="preserve"> retain</w:t>
      </w:r>
      <w:r w:rsidR="003459FB" w:rsidRPr="0063375A">
        <w:rPr>
          <w:rFonts w:ascii="Arial" w:hAnsi="Arial" w:cs="Arial"/>
          <w:color w:val="0D0D0D" w:themeColor="text1" w:themeTint="F2"/>
          <w:sz w:val="22"/>
          <w:szCs w:val="22"/>
        </w:rPr>
        <w:t xml:space="preserve"> </w:t>
      </w:r>
      <w:r w:rsidR="0081612A" w:rsidRPr="0063375A">
        <w:rPr>
          <w:rFonts w:ascii="Arial" w:hAnsi="Arial" w:cs="Arial"/>
          <w:color w:val="0D0D0D" w:themeColor="text1" w:themeTint="F2"/>
          <w:sz w:val="22"/>
          <w:szCs w:val="22"/>
        </w:rPr>
        <w:t xml:space="preserve">LRI and GH as </w:t>
      </w:r>
      <w:r w:rsidR="00A12B9A" w:rsidRPr="0063375A">
        <w:rPr>
          <w:rFonts w:ascii="Arial" w:hAnsi="Arial" w:cs="Arial"/>
          <w:color w:val="0D0D0D" w:themeColor="text1" w:themeTint="F2"/>
          <w:sz w:val="22"/>
          <w:szCs w:val="22"/>
        </w:rPr>
        <w:t xml:space="preserve">the </w:t>
      </w:r>
      <w:r w:rsidR="0081612A" w:rsidRPr="0063375A">
        <w:rPr>
          <w:rFonts w:ascii="Arial" w:hAnsi="Arial" w:cs="Arial"/>
          <w:color w:val="0D0D0D" w:themeColor="text1" w:themeTint="F2"/>
          <w:sz w:val="22"/>
          <w:szCs w:val="22"/>
        </w:rPr>
        <w:t>two acute hospitals</w:t>
      </w:r>
      <w:r w:rsidR="00A12B9A" w:rsidRPr="0063375A">
        <w:rPr>
          <w:rFonts w:ascii="Arial" w:hAnsi="Arial" w:cs="Arial"/>
          <w:color w:val="0D0D0D" w:themeColor="text1" w:themeTint="F2"/>
          <w:sz w:val="22"/>
          <w:szCs w:val="22"/>
        </w:rPr>
        <w:t xml:space="preserve"> for Leicester, Leicestershire and Rutland</w:t>
      </w:r>
      <w:r w:rsidR="0081612A" w:rsidRPr="0063375A">
        <w:rPr>
          <w:rFonts w:ascii="Arial" w:hAnsi="Arial" w:cs="Arial"/>
          <w:color w:val="0D0D0D" w:themeColor="text1" w:themeTint="F2"/>
          <w:sz w:val="22"/>
          <w:szCs w:val="22"/>
        </w:rPr>
        <w:t xml:space="preserve">. </w:t>
      </w:r>
      <w:r w:rsidR="00A12B9A" w:rsidRPr="0063375A">
        <w:rPr>
          <w:rFonts w:ascii="Arial" w:hAnsi="Arial" w:cs="Arial"/>
          <w:color w:val="0D0D0D" w:themeColor="text1" w:themeTint="F2"/>
          <w:sz w:val="22"/>
          <w:szCs w:val="22"/>
        </w:rPr>
        <w:t xml:space="preserve"> </w:t>
      </w:r>
      <w:r w:rsidR="003459FB" w:rsidRPr="0063375A">
        <w:rPr>
          <w:rFonts w:ascii="Arial" w:hAnsi="Arial" w:cs="Arial"/>
          <w:color w:val="0D0D0D" w:themeColor="text1" w:themeTint="F2"/>
          <w:sz w:val="22"/>
          <w:szCs w:val="22"/>
        </w:rPr>
        <w:t>LGH</w:t>
      </w:r>
      <w:r w:rsidR="00544767" w:rsidRPr="0063375A">
        <w:rPr>
          <w:rFonts w:ascii="Arial" w:hAnsi="Arial" w:cs="Arial"/>
          <w:color w:val="0D0D0D" w:themeColor="text1" w:themeTint="F2"/>
          <w:sz w:val="22"/>
          <w:szCs w:val="22"/>
        </w:rPr>
        <w:t xml:space="preserve"> (‘subject to the formal public consultation which is currently expected to take place early in 2019’ - FBC p80)</w:t>
      </w:r>
      <w:r w:rsidR="00F7780F" w:rsidRPr="0063375A">
        <w:rPr>
          <w:rFonts w:ascii="Arial" w:hAnsi="Arial" w:cs="Arial"/>
          <w:color w:val="0D0D0D" w:themeColor="text1" w:themeTint="F2"/>
          <w:sz w:val="22"/>
          <w:szCs w:val="22"/>
        </w:rPr>
        <w:t xml:space="preserve"> </w:t>
      </w:r>
      <w:r w:rsidR="0081612A" w:rsidRPr="0063375A">
        <w:rPr>
          <w:rFonts w:ascii="Arial" w:hAnsi="Arial" w:cs="Arial"/>
          <w:color w:val="0D0D0D" w:themeColor="text1" w:themeTint="F2"/>
          <w:sz w:val="22"/>
          <w:szCs w:val="22"/>
        </w:rPr>
        <w:t>would</w:t>
      </w:r>
      <w:r w:rsidR="0081612A" w:rsidRPr="00A70BED">
        <w:rPr>
          <w:rFonts w:ascii="Arial" w:hAnsi="Arial" w:cs="Arial"/>
          <w:color w:val="0D0D0D" w:themeColor="text1" w:themeTint="F2"/>
          <w:sz w:val="22"/>
          <w:szCs w:val="22"/>
        </w:rPr>
        <w:t xml:space="preserve"> remain as </w:t>
      </w:r>
      <w:r w:rsidR="003459FB" w:rsidRPr="00A70BED">
        <w:rPr>
          <w:rFonts w:ascii="Arial" w:hAnsi="Arial" w:cs="Arial"/>
          <w:color w:val="0D0D0D" w:themeColor="text1" w:themeTint="F2"/>
          <w:sz w:val="22"/>
          <w:szCs w:val="22"/>
        </w:rPr>
        <w:t xml:space="preserve">a community </w:t>
      </w:r>
      <w:r w:rsidR="0081612A" w:rsidRPr="00A70BED">
        <w:rPr>
          <w:rFonts w:ascii="Arial" w:hAnsi="Arial" w:cs="Arial"/>
          <w:color w:val="0D0D0D" w:themeColor="text1" w:themeTint="F2"/>
          <w:sz w:val="22"/>
          <w:szCs w:val="22"/>
        </w:rPr>
        <w:t>hub</w:t>
      </w:r>
      <w:r w:rsidR="005F2A48">
        <w:rPr>
          <w:rFonts w:ascii="Arial" w:hAnsi="Arial" w:cs="Arial"/>
          <w:color w:val="0D0D0D" w:themeColor="text1" w:themeTint="F2"/>
          <w:sz w:val="22"/>
          <w:szCs w:val="22"/>
        </w:rPr>
        <w:t xml:space="preserve">, </w:t>
      </w:r>
      <w:r w:rsidR="005F2A48">
        <w:rPr>
          <w:rFonts w:ascii="Arial" w:hAnsi="Arial" w:cs="Arial"/>
          <w:color w:val="0D0D0D" w:themeColor="text1" w:themeTint="F2"/>
          <w:sz w:val="22"/>
          <w:szCs w:val="22"/>
        </w:rPr>
        <w:lastRenderedPageBreak/>
        <w:t>a midwife-led maternity service and a Diabetes Centre of Excellence</w:t>
      </w:r>
      <w:r w:rsidR="007C6588">
        <w:rPr>
          <w:rFonts w:ascii="Arial" w:hAnsi="Arial" w:cs="Arial"/>
          <w:color w:val="0D0D0D" w:themeColor="text1" w:themeTint="F2"/>
          <w:sz w:val="22"/>
          <w:szCs w:val="22"/>
        </w:rPr>
        <w:t>.</w:t>
      </w:r>
      <w:r w:rsidR="00F7780F" w:rsidRPr="00A70BED">
        <w:rPr>
          <w:rFonts w:ascii="Arial" w:hAnsi="Arial" w:cs="Arial"/>
          <w:color w:val="0D0D0D" w:themeColor="text1" w:themeTint="F2"/>
          <w:sz w:val="22"/>
          <w:szCs w:val="22"/>
        </w:rPr>
        <w:t xml:space="preserve"> </w:t>
      </w:r>
      <w:r w:rsidR="007C6588">
        <w:rPr>
          <w:rFonts w:ascii="Arial" w:hAnsi="Arial" w:cs="Arial"/>
          <w:color w:val="0D0D0D" w:themeColor="text1" w:themeTint="F2"/>
          <w:sz w:val="22"/>
          <w:szCs w:val="22"/>
        </w:rPr>
        <w:t xml:space="preserve">However, no finalised version of the STP has appeared in the </w:t>
      </w:r>
      <w:r w:rsidR="007C6588" w:rsidRPr="00A70BED">
        <w:rPr>
          <w:rFonts w:ascii="Arial" w:hAnsi="Arial" w:cs="Arial"/>
          <w:color w:val="0D0D0D" w:themeColor="text1" w:themeTint="F2"/>
          <w:sz w:val="22"/>
          <w:szCs w:val="22"/>
        </w:rPr>
        <w:t>public domain no</w:t>
      </w:r>
      <w:r w:rsidR="007C6588">
        <w:rPr>
          <w:rFonts w:ascii="Arial" w:hAnsi="Arial" w:cs="Arial"/>
          <w:color w:val="0D0D0D" w:themeColor="text1" w:themeTint="F2"/>
          <w:sz w:val="22"/>
          <w:szCs w:val="22"/>
        </w:rPr>
        <w:t>r has there been any</w:t>
      </w:r>
      <w:r w:rsidR="007C6588" w:rsidRPr="00A70BED">
        <w:rPr>
          <w:rFonts w:ascii="Arial" w:hAnsi="Arial" w:cs="Arial"/>
          <w:color w:val="0D0D0D" w:themeColor="text1" w:themeTint="F2"/>
          <w:sz w:val="22"/>
          <w:szCs w:val="22"/>
        </w:rPr>
        <w:t xml:space="preserve"> </w:t>
      </w:r>
      <w:r w:rsidR="001A29C4">
        <w:rPr>
          <w:rFonts w:ascii="Arial" w:hAnsi="Arial" w:cs="Arial"/>
          <w:color w:val="0D0D0D" w:themeColor="text1" w:themeTint="F2"/>
          <w:sz w:val="22"/>
          <w:szCs w:val="22"/>
        </w:rPr>
        <w:t xml:space="preserve">formal </w:t>
      </w:r>
      <w:r w:rsidR="007C6588" w:rsidRPr="00A70BED">
        <w:rPr>
          <w:rFonts w:ascii="Arial" w:hAnsi="Arial" w:cs="Arial"/>
          <w:color w:val="0D0D0D" w:themeColor="text1" w:themeTint="F2"/>
          <w:sz w:val="22"/>
          <w:szCs w:val="22"/>
        </w:rPr>
        <w:t>consultation regarding the future of LGH and the UHL Estate</w:t>
      </w:r>
      <w:r w:rsidR="007C6588">
        <w:rPr>
          <w:rFonts w:ascii="Arial" w:hAnsi="Arial" w:cs="Arial"/>
          <w:color w:val="0D0D0D" w:themeColor="text1" w:themeTint="F2"/>
          <w:sz w:val="22"/>
          <w:szCs w:val="22"/>
        </w:rPr>
        <w:t>.</w:t>
      </w:r>
      <w:r w:rsidR="007909A3" w:rsidRPr="00A70BED">
        <w:rPr>
          <w:rFonts w:ascii="Arial" w:hAnsi="Arial" w:cs="Arial"/>
          <w:color w:val="0D0D0D" w:themeColor="text1" w:themeTint="F2"/>
          <w:sz w:val="22"/>
          <w:szCs w:val="22"/>
        </w:rPr>
        <w:t xml:space="preserve"> </w:t>
      </w:r>
    </w:p>
    <w:p w14:paraId="3DFFCD88" w14:textId="1DB8F0FA" w:rsidR="00C52308" w:rsidRPr="00A70BED" w:rsidRDefault="00F7780F" w:rsidP="00507361">
      <w:pPr>
        <w:pStyle w:val="NormalWeb"/>
        <w:spacing w:line="360" w:lineRule="auto"/>
        <w:rPr>
          <w:rFonts w:ascii="Arial" w:hAnsi="Arial" w:cs="Arial"/>
          <w:color w:val="333333"/>
          <w:sz w:val="22"/>
          <w:szCs w:val="22"/>
        </w:rPr>
      </w:pPr>
      <w:r w:rsidRPr="00A70BED">
        <w:rPr>
          <w:rFonts w:ascii="Arial" w:hAnsi="Arial" w:cs="Arial"/>
          <w:color w:val="0D0D0D" w:themeColor="text1" w:themeTint="F2"/>
          <w:sz w:val="22"/>
          <w:szCs w:val="22"/>
        </w:rPr>
        <w:t>T</w:t>
      </w:r>
      <w:r w:rsidR="00536F88" w:rsidRPr="00A70BED">
        <w:rPr>
          <w:rFonts w:ascii="Arial" w:hAnsi="Arial" w:cs="Arial"/>
          <w:color w:val="0D0D0D" w:themeColor="text1" w:themeTint="F2"/>
          <w:sz w:val="22"/>
          <w:szCs w:val="22"/>
        </w:rPr>
        <w:t>he FBC</w:t>
      </w:r>
      <w:r w:rsidR="008C632B" w:rsidRPr="00A70BED">
        <w:rPr>
          <w:rFonts w:ascii="Arial" w:hAnsi="Arial" w:cs="Arial"/>
          <w:color w:val="0D0D0D" w:themeColor="text1" w:themeTint="F2"/>
          <w:sz w:val="22"/>
          <w:szCs w:val="22"/>
        </w:rPr>
        <w:t xml:space="preserve">, first set before the UHL </w:t>
      </w:r>
      <w:r w:rsidR="002D34E7" w:rsidRPr="00A70BED">
        <w:rPr>
          <w:rFonts w:ascii="Arial" w:hAnsi="Arial" w:cs="Arial"/>
          <w:color w:val="0D0D0D" w:themeColor="text1" w:themeTint="F2"/>
          <w:sz w:val="22"/>
          <w:szCs w:val="22"/>
        </w:rPr>
        <w:t xml:space="preserve">Trust Board </w:t>
      </w:r>
      <w:r w:rsidR="008C632B" w:rsidRPr="00A70BED">
        <w:rPr>
          <w:rFonts w:ascii="Arial" w:hAnsi="Arial" w:cs="Arial"/>
          <w:color w:val="0D0D0D" w:themeColor="text1" w:themeTint="F2"/>
          <w:sz w:val="22"/>
          <w:szCs w:val="22"/>
        </w:rPr>
        <w:t>in July 2018,</w:t>
      </w:r>
      <w:r w:rsidR="00536F88" w:rsidRPr="00A70BED">
        <w:rPr>
          <w:rFonts w:ascii="Arial" w:hAnsi="Arial" w:cs="Arial"/>
          <w:color w:val="0D0D0D" w:themeColor="text1" w:themeTint="F2"/>
          <w:sz w:val="22"/>
          <w:szCs w:val="22"/>
        </w:rPr>
        <w:t xml:space="preserve"> acknowledges that the consolidation of three hos</w:t>
      </w:r>
      <w:r w:rsidRPr="00A70BED">
        <w:rPr>
          <w:rFonts w:ascii="Arial" w:hAnsi="Arial" w:cs="Arial"/>
          <w:color w:val="0D0D0D" w:themeColor="text1" w:themeTint="F2"/>
          <w:sz w:val="22"/>
          <w:szCs w:val="22"/>
        </w:rPr>
        <w:t>pitals into two has been a long-</w:t>
      </w:r>
      <w:r w:rsidR="00536F88" w:rsidRPr="00A70BED">
        <w:rPr>
          <w:rFonts w:ascii="Arial" w:hAnsi="Arial" w:cs="Arial"/>
          <w:color w:val="0D0D0D" w:themeColor="text1" w:themeTint="F2"/>
          <w:sz w:val="22"/>
          <w:szCs w:val="22"/>
        </w:rPr>
        <w:t>term strategic aim</w:t>
      </w:r>
      <w:r w:rsidRPr="00A70BED">
        <w:rPr>
          <w:rFonts w:ascii="Arial" w:hAnsi="Arial" w:cs="Arial"/>
          <w:color w:val="0D0D0D" w:themeColor="text1" w:themeTint="F2"/>
          <w:sz w:val="22"/>
          <w:szCs w:val="22"/>
        </w:rPr>
        <w:t xml:space="preserve"> </w:t>
      </w:r>
      <w:r w:rsidR="006D7C2D" w:rsidRPr="00A70BED">
        <w:rPr>
          <w:rFonts w:ascii="Arial" w:hAnsi="Arial" w:cs="Arial"/>
          <w:color w:val="0D0D0D" w:themeColor="text1" w:themeTint="F2"/>
          <w:sz w:val="22"/>
          <w:szCs w:val="22"/>
        </w:rPr>
        <w:t>that</w:t>
      </w:r>
      <w:r w:rsidRPr="00A70BED">
        <w:rPr>
          <w:rFonts w:ascii="Arial" w:hAnsi="Arial" w:cs="Arial"/>
          <w:color w:val="0D0D0D" w:themeColor="text1" w:themeTint="F2"/>
          <w:sz w:val="22"/>
          <w:szCs w:val="22"/>
        </w:rPr>
        <w:t xml:space="preserve"> was determined before the </w:t>
      </w:r>
      <w:r w:rsidR="006D7C2D" w:rsidRPr="00A70BED">
        <w:rPr>
          <w:rFonts w:ascii="Arial" w:hAnsi="Arial" w:cs="Arial"/>
          <w:color w:val="0D0D0D" w:themeColor="text1" w:themeTint="F2"/>
          <w:sz w:val="22"/>
          <w:szCs w:val="22"/>
        </w:rPr>
        <w:t xml:space="preserve">first </w:t>
      </w:r>
      <w:r w:rsidRPr="00A70BED">
        <w:rPr>
          <w:rFonts w:ascii="Arial" w:hAnsi="Arial" w:cs="Arial"/>
          <w:color w:val="0D0D0D" w:themeColor="text1" w:themeTint="F2"/>
          <w:sz w:val="22"/>
          <w:szCs w:val="22"/>
        </w:rPr>
        <w:t>draft STP was formulated.  However, situating the FBC so definitively within the STP</w:t>
      </w:r>
      <w:r w:rsidR="00536F88" w:rsidRPr="00A70BED">
        <w:rPr>
          <w:rFonts w:ascii="Arial" w:hAnsi="Arial" w:cs="Arial"/>
          <w:color w:val="0D0D0D" w:themeColor="text1" w:themeTint="F2"/>
          <w:sz w:val="22"/>
          <w:szCs w:val="22"/>
        </w:rPr>
        <w:t xml:space="preserve"> </w:t>
      </w:r>
      <w:r w:rsidRPr="00A70BED">
        <w:rPr>
          <w:rFonts w:ascii="Arial" w:hAnsi="Arial" w:cs="Arial"/>
          <w:color w:val="0D0D0D" w:themeColor="text1" w:themeTint="F2"/>
          <w:sz w:val="22"/>
          <w:szCs w:val="22"/>
        </w:rPr>
        <w:t>means that UHL</w:t>
      </w:r>
      <w:r w:rsidR="006D7C2D" w:rsidRPr="00A70BED">
        <w:rPr>
          <w:rFonts w:ascii="Arial" w:hAnsi="Arial" w:cs="Arial"/>
          <w:color w:val="0D0D0D" w:themeColor="text1" w:themeTint="F2"/>
          <w:sz w:val="22"/>
          <w:szCs w:val="22"/>
        </w:rPr>
        <w:t xml:space="preserve"> </w:t>
      </w:r>
      <w:r w:rsidR="00A12B9A" w:rsidRPr="00A70BED">
        <w:rPr>
          <w:rFonts w:ascii="Arial" w:hAnsi="Arial" w:cs="Arial"/>
          <w:color w:val="0D0D0D" w:themeColor="text1" w:themeTint="F2"/>
          <w:sz w:val="22"/>
          <w:szCs w:val="22"/>
        </w:rPr>
        <w:t>arguably stands accused</w:t>
      </w:r>
      <w:r w:rsidR="006D7C2D" w:rsidRPr="00A70BED">
        <w:rPr>
          <w:rFonts w:ascii="Arial" w:hAnsi="Arial" w:cs="Arial"/>
          <w:color w:val="0D0D0D" w:themeColor="text1" w:themeTint="F2"/>
          <w:sz w:val="22"/>
          <w:szCs w:val="22"/>
        </w:rPr>
        <w:t xml:space="preserve"> of</w:t>
      </w:r>
      <w:r w:rsidRPr="00A70BED">
        <w:rPr>
          <w:rFonts w:ascii="Arial" w:hAnsi="Arial" w:cs="Arial"/>
          <w:color w:val="0D0D0D" w:themeColor="text1" w:themeTint="F2"/>
          <w:sz w:val="22"/>
          <w:szCs w:val="22"/>
        </w:rPr>
        <w:t xml:space="preserve"> pre-empt</w:t>
      </w:r>
      <w:r w:rsidR="006D7C2D" w:rsidRPr="00A70BED">
        <w:rPr>
          <w:rFonts w:ascii="Arial" w:hAnsi="Arial" w:cs="Arial"/>
          <w:color w:val="0D0D0D" w:themeColor="text1" w:themeTint="F2"/>
          <w:sz w:val="22"/>
          <w:szCs w:val="22"/>
        </w:rPr>
        <w:t>ing</w:t>
      </w:r>
      <w:r w:rsidRPr="00A70BED">
        <w:rPr>
          <w:rFonts w:ascii="Arial" w:hAnsi="Arial" w:cs="Arial"/>
          <w:color w:val="0D0D0D" w:themeColor="text1" w:themeTint="F2"/>
          <w:sz w:val="22"/>
          <w:szCs w:val="22"/>
        </w:rPr>
        <w:t xml:space="preserve"> the redrafted STP</w:t>
      </w:r>
      <w:r w:rsidR="006D7C2D" w:rsidRPr="00A70BED">
        <w:rPr>
          <w:rFonts w:ascii="Arial" w:hAnsi="Arial" w:cs="Arial"/>
          <w:color w:val="0D0D0D" w:themeColor="text1" w:themeTint="F2"/>
          <w:sz w:val="22"/>
          <w:szCs w:val="22"/>
        </w:rPr>
        <w:t>, which is yet to be made available to the public for consultation</w:t>
      </w:r>
      <w:r w:rsidR="00CD41A3" w:rsidRPr="00A70BED">
        <w:rPr>
          <w:rFonts w:ascii="Arial" w:hAnsi="Arial" w:cs="Arial"/>
          <w:color w:val="0D0D0D" w:themeColor="text1" w:themeTint="F2"/>
          <w:sz w:val="22"/>
          <w:szCs w:val="22"/>
        </w:rPr>
        <w:t xml:space="preserve"> and agreement</w:t>
      </w:r>
      <w:r w:rsidR="00B017F7" w:rsidRPr="00A70BED">
        <w:rPr>
          <w:rFonts w:ascii="Arial" w:hAnsi="Arial" w:cs="Arial"/>
          <w:color w:val="0D0D0D" w:themeColor="text1" w:themeTint="F2"/>
          <w:sz w:val="22"/>
          <w:szCs w:val="22"/>
        </w:rPr>
        <w:t>.</w:t>
      </w:r>
      <w:r w:rsidR="00CD41A3" w:rsidRPr="00A70BED">
        <w:rPr>
          <w:rFonts w:ascii="Arial" w:hAnsi="Arial" w:cs="Arial"/>
          <w:color w:val="0D0D0D" w:themeColor="text1" w:themeTint="F2"/>
          <w:sz w:val="22"/>
          <w:szCs w:val="22"/>
        </w:rPr>
        <w:t xml:space="preserve">  As we next demonstrate, the lack of public consultation</w:t>
      </w:r>
      <w:r w:rsidR="00445429" w:rsidRPr="00A70BED">
        <w:rPr>
          <w:rFonts w:ascii="Arial" w:hAnsi="Arial" w:cs="Arial"/>
          <w:color w:val="0D0D0D" w:themeColor="text1" w:themeTint="F2"/>
          <w:sz w:val="22"/>
          <w:szCs w:val="22"/>
        </w:rPr>
        <w:t xml:space="preserve"> may have contributed to</w:t>
      </w:r>
      <w:r w:rsidR="00CD41A3" w:rsidRPr="00A70BED">
        <w:rPr>
          <w:rFonts w:ascii="Arial" w:hAnsi="Arial" w:cs="Arial"/>
          <w:color w:val="0D0D0D" w:themeColor="text1" w:themeTint="F2"/>
          <w:sz w:val="22"/>
          <w:szCs w:val="22"/>
        </w:rPr>
        <w:t xml:space="preserve"> omissions and errors in the FBC </w:t>
      </w:r>
      <w:r w:rsidR="00313927" w:rsidRPr="00A70BED">
        <w:rPr>
          <w:rFonts w:ascii="Arial" w:hAnsi="Arial" w:cs="Arial"/>
          <w:color w:val="0D0D0D" w:themeColor="text1" w:themeTint="F2"/>
          <w:sz w:val="22"/>
          <w:szCs w:val="22"/>
        </w:rPr>
        <w:t>that</w:t>
      </w:r>
      <w:r w:rsidR="00CD41A3" w:rsidRPr="00A70BED">
        <w:rPr>
          <w:rFonts w:ascii="Arial" w:hAnsi="Arial" w:cs="Arial"/>
          <w:color w:val="0D0D0D" w:themeColor="text1" w:themeTint="F2"/>
          <w:sz w:val="22"/>
          <w:szCs w:val="22"/>
        </w:rPr>
        <w:t xml:space="preserve"> could and should have been </w:t>
      </w:r>
      <w:r w:rsidR="00313927" w:rsidRPr="00A70BED">
        <w:rPr>
          <w:rFonts w:ascii="Arial" w:hAnsi="Arial" w:cs="Arial"/>
          <w:color w:val="0D0D0D" w:themeColor="text1" w:themeTint="F2"/>
          <w:sz w:val="22"/>
          <w:szCs w:val="22"/>
        </w:rPr>
        <w:t>addressed</w:t>
      </w:r>
      <w:r w:rsidR="00CD41A3" w:rsidRPr="00A70BED">
        <w:rPr>
          <w:rFonts w:ascii="Arial" w:hAnsi="Arial" w:cs="Arial"/>
          <w:color w:val="0D0D0D" w:themeColor="text1" w:themeTint="F2"/>
          <w:sz w:val="22"/>
          <w:szCs w:val="22"/>
        </w:rPr>
        <w:t xml:space="preserve">. </w:t>
      </w:r>
    </w:p>
    <w:p w14:paraId="2C1C005B" w14:textId="77777777" w:rsidR="00B86975" w:rsidRDefault="00B86975" w:rsidP="00507361">
      <w:pPr>
        <w:spacing w:line="360" w:lineRule="auto"/>
        <w:rPr>
          <w:b/>
          <w:sz w:val="22"/>
          <w:szCs w:val="22"/>
        </w:rPr>
      </w:pPr>
    </w:p>
    <w:p w14:paraId="784058EE" w14:textId="1BF04581" w:rsidR="00225E55" w:rsidRPr="00F9339E" w:rsidRDefault="007C6588" w:rsidP="00507361">
      <w:pPr>
        <w:spacing w:line="360" w:lineRule="auto"/>
        <w:rPr>
          <w:b/>
          <w:sz w:val="22"/>
          <w:szCs w:val="22"/>
        </w:rPr>
      </w:pPr>
      <w:r>
        <w:rPr>
          <w:b/>
          <w:sz w:val="22"/>
          <w:szCs w:val="22"/>
        </w:rPr>
        <w:t>3</w:t>
      </w:r>
      <w:r w:rsidR="00F9339E">
        <w:rPr>
          <w:b/>
          <w:sz w:val="22"/>
          <w:szCs w:val="22"/>
        </w:rPr>
        <w:t>.</w:t>
      </w:r>
      <w:r w:rsidR="004D6A0C" w:rsidRPr="00F9339E">
        <w:rPr>
          <w:b/>
          <w:sz w:val="22"/>
          <w:szCs w:val="22"/>
        </w:rPr>
        <w:t xml:space="preserve">The re-siting of </w:t>
      </w:r>
      <w:r w:rsidR="00E55BF4" w:rsidRPr="00F9339E">
        <w:rPr>
          <w:b/>
          <w:sz w:val="22"/>
          <w:szCs w:val="22"/>
        </w:rPr>
        <w:t xml:space="preserve">the </w:t>
      </w:r>
      <w:r w:rsidR="004D6A0C" w:rsidRPr="00F9339E">
        <w:rPr>
          <w:b/>
          <w:sz w:val="22"/>
          <w:szCs w:val="22"/>
        </w:rPr>
        <w:t>renal transplant ward</w:t>
      </w:r>
      <w:r w:rsidR="00903438" w:rsidRPr="007C6588">
        <w:rPr>
          <w:b/>
          <w:sz w:val="22"/>
          <w:szCs w:val="22"/>
        </w:rPr>
        <w:t>,</w:t>
      </w:r>
      <w:r w:rsidR="00F17E63">
        <w:rPr>
          <w:b/>
          <w:sz w:val="22"/>
          <w:szCs w:val="22"/>
        </w:rPr>
        <w:t xml:space="preserve"> hepato-pancreato-biliary </w:t>
      </w:r>
      <w:r w:rsidR="00E55BF4" w:rsidRPr="007C6588">
        <w:rPr>
          <w:b/>
          <w:sz w:val="22"/>
          <w:szCs w:val="22"/>
        </w:rPr>
        <w:t>surgery</w:t>
      </w:r>
      <w:r w:rsidR="004D6A0C" w:rsidRPr="007C6588">
        <w:rPr>
          <w:b/>
          <w:sz w:val="22"/>
          <w:szCs w:val="22"/>
        </w:rPr>
        <w:t xml:space="preserve"> </w:t>
      </w:r>
      <w:r w:rsidR="00903438" w:rsidRPr="007C6588">
        <w:rPr>
          <w:b/>
          <w:sz w:val="22"/>
          <w:szCs w:val="22"/>
        </w:rPr>
        <w:t xml:space="preserve">and urology high risk care </w:t>
      </w:r>
      <w:r w:rsidR="004D6A0C" w:rsidRPr="007C6588">
        <w:rPr>
          <w:b/>
          <w:sz w:val="22"/>
          <w:szCs w:val="22"/>
        </w:rPr>
        <w:t>– identified</w:t>
      </w:r>
      <w:r w:rsidR="004D6A0C" w:rsidRPr="00F9339E">
        <w:rPr>
          <w:b/>
          <w:sz w:val="22"/>
          <w:szCs w:val="22"/>
        </w:rPr>
        <w:t xml:space="preserve"> problems</w:t>
      </w:r>
    </w:p>
    <w:p w14:paraId="0E4DF9C0" w14:textId="77777777" w:rsidR="00990750" w:rsidRPr="00A70BED" w:rsidRDefault="00990750" w:rsidP="00507361">
      <w:pPr>
        <w:spacing w:line="360" w:lineRule="auto"/>
        <w:rPr>
          <w:i/>
          <w:sz w:val="22"/>
          <w:szCs w:val="22"/>
        </w:rPr>
      </w:pPr>
    </w:p>
    <w:p w14:paraId="0379C727" w14:textId="618E6DFC" w:rsidR="005D6095" w:rsidRPr="00A70BED" w:rsidRDefault="006D7C2D" w:rsidP="00507361">
      <w:pPr>
        <w:spacing w:line="360" w:lineRule="auto"/>
        <w:rPr>
          <w:sz w:val="22"/>
          <w:szCs w:val="22"/>
        </w:rPr>
      </w:pPr>
      <w:r w:rsidRPr="00A70BED">
        <w:rPr>
          <w:sz w:val="22"/>
          <w:szCs w:val="22"/>
        </w:rPr>
        <w:t>T</w:t>
      </w:r>
      <w:r w:rsidR="00990750" w:rsidRPr="00A70BED">
        <w:rPr>
          <w:sz w:val="22"/>
          <w:szCs w:val="22"/>
        </w:rPr>
        <w:t xml:space="preserve">he </w:t>
      </w:r>
      <w:r w:rsidRPr="00A70BED">
        <w:rPr>
          <w:sz w:val="22"/>
          <w:szCs w:val="22"/>
        </w:rPr>
        <w:t xml:space="preserve">FBC discusses the </w:t>
      </w:r>
      <w:r w:rsidR="005D6095" w:rsidRPr="00A70BED">
        <w:rPr>
          <w:sz w:val="22"/>
          <w:szCs w:val="22"/>
        </w:rPr>
        <w:t xml:space="preserve">relocation of </w:t>
      </w:r>
      <w:r w:rsidR="001C7C49">
        <w:rPr>
          <w:sz w:val="22"/>
          <w:szCs w:val="22"/>
        </w:rPr>
        <w:t>renal transplant (</w:t>
      </w:r>
      <w:r w:rsidR="005D6095" w:rsidRPr="00A70BED">
        <w:rPr>
          <w:sz w:val="22"/>
          <w:szCs w:val="22"/>
        </w:rPr>
        <w:t>RT</w:t>
      </w:r>
      <w:r w:rsidR="001C7C49">
        <w:rPr>
          <w:sz w:val="22"/>
          <w:szCs w:val="22"/>
        </w:rPr>
        <w:t>)</w:t>
      </w:r>
      <w:r w:rsidR="005D6095" w:rsidRPr="00A70BED">
        <w:rPr>
          <w:sz w:val="22"/>
          <w:szCs w:val="22"/>
        </w:rPr>
        <w:t xml:space="preserve"> as follows:</w:t>
      </w:r>
    </w:p>
    <w:p w14:paraId="4E4B5B42" w14:textId="77777777" w:rsidR="005D6095" w:rsidRPr="00A70BED" w:rsidRDefault="005D6095" w:rsidP="00507361">
      <w:pPr>
        <w:spacing w:line="360" w:lineRule="auto"/>
        <w:ind w:left="567" w:right="510"/>
        <w:rPr>
          <w:sz w:val="22"/>
          <w:szCs w:val="22"/>
        </w:rPr>
      </w:pPr>
    </w:p>
    <w:p w14:paraId="4C98F6EC" w14:textId="71523180" w:rsidR="00990750" w:rsidRPr="00A70BED" w:rsidRDefault="00990750" w:rsidP="00507361">
      <w:pPr>
        <w:spacing w:line="360" w:lineRule="auto"/>
        <w:ind w:left="567" w:right="510"/>
        <w:rPr>
          <w:sz w:val="22"/>
          <w:szCs w:val="22"/>
        </w:rPr>
      </w:pPr>
      <w:r w:rsidRPr="00A70BED">
        <w:rPr>
          <w:sz w:val="22"/>
          <w:szCs w:val="22"/>
        </w:rPr>
        <w:t>There is recognition that the resulting site split for transplant and nephrology is only clinically sustainab</w:t>
      </w:r>
      <w:r w:rsidR="006A2185" w:rsidRPr="00A70BED">
        <w:rPr>
          <w:sz w:val="22"/>
          <w:szCs w:val="22"/>
        </w:rPr>
        <w:t>le over a short-</w:t>
      </w:r>
      <w:r w:rsidRPr="00A70BED">
        <w:rPr>
          <w:sz w:val="22"/>
          <w:szCs w:val="22"/>
        </w:rPr>
        <w:t>term period, not least because of the pressure this will place on a small number of consultant workforce.  The Trust is therefore developing separately the options to move nephrology to Glenfield Hospital, at an early stage, at low cost.  This will be subject to a separate business case…..The separation of the two services is highlighted as a risk and mitigations have been established to manage this risk</w:t>
      </w:r>
      <w:r w:rsidR="005D6095" w:rsidRPr="00A70BED">
        <w:rPr>
          <w:sz w:val="22"/>
          <w:szCs w:val="22"/>
        </w:rPr>
        <w:t xml:space="preserve"> (pp 99-100)</w:t>
      </w:r>
      <w:r w:rsidRPr="00A70BED">
        <w:rPr>
          <w:sz w:val="22"/>
          <w:szCs w:val="22"/>
        </w:rPr>
        <w:t>.</w:t>
      </w:r>
    </w:p>
    <w:p w14:paraId="1A905EB1" w14:textId="23459A4C" w:rsidR="00990750" w:rsidRPr="00A70BED" w:rsidRDefault="00990750" w:rsidP="00507361">
      <w:pPr>
        <w:spacing w:line="360" w:lineRule="auto"/>
        <w:rPr>
          <w:sz w:val="22"/>
          <w:szCs w:val="22"/>
        </w:rPr>
      </w:pPr>
      <w:r w:rsidRPr="00A70BED">
        <w:rPr>
          <w:sz w:val="22"/>
          <w:szCs w:val="22"/>
        </w:rPr>
        <w:t xml:space="preserve"> </w:t>
      </w:r>
    </w:p>
    <w:p w14:paraId="79327DD4" w14:textId="6BA71B49" w:rsidR="007B6A40" w:rsidRPr="00A70BED" w:rsidRDefault="000D178D" w:rsidP="00507361">
      <w:pPr>
        <w:spacing w:line="360" w:lineRule="auto"/>
        <w:rPr>
          <w:sz w:val="22"/>
          <w:szCs w:val="22"/>
        </w:rPr>
      </w:pPr>
      <w:r w:rsidRPr="00A70BED">
        <w:rPr>
          <w:sz w:val="22"/>
          <w:szCs w:val="22"/>
        </w:rPr>
        <w:t>We note that these mitigations are not inc</w:t>
      </w:r>
      <w:r w:rsidR="002344A6" w:rsidRPr="00A70BED">
        <w:rPr>
          <w:sz w:val="22"/>
          <w:szCs w:val="22"/>
        </w:rPr>
        <w:t>l</w:t>
      </w:r>
      <w:r w:rsidRPr="00A70BED">
        <w:rPr>
          <w:sz w:val="22"/>
          <w:szCs w:val="22"/>
        </w:rPr>
        <w:t xml:space="preserve">uded in the FBC. </w:t>
      </w:r>
      <w:r w:rsidR="00E51254" w:rsidRPr="00A70BED">
        <w:rPr>
          <w:sz w:val="22"/>
          <w:szCs w:val="22"/>
        </w:rPr>
        <w:t xml:space="preserve"> </w:t>
      </w:r>
      <w:r w:rsidR="00B017F7" w:rsidRPr="00A70BED">
        <w:rPr>
          <w:sz w:val="22"/>
          <w:szCs w:val="22"/>
        </w:rPr>
        <w:t xml:space="preserve">To </w:t>
      </w:r>
      <w:r w:rsidRPr="00A70BED">
        <w:rPr>
          <w:sz w:val="22"/>
          <w:szCs w:val="22"/>
        </w:rPr>
        <w:t xml:space="preserve">further </w:t>
      </w:r>
      <w:r w:rsidR="00B017F7" w:rsidRPr="00A70BED">
        <w:rPr>
          <w:sz w:val="22"/>
          <w:szCs w:val="22"/>
        </w:rPr>
        <w:t xml:space="preserve">understand the ramifications of the above statement, we first describe the context of the existing renal transplant ward at LGH. </w:t>
      </w:r>
    </w:p>
    <w:p w14:paraId="5B0160F7" w14:textId="77777777" w:rsidR="00C52308" w:rsidRPr="00A70BED" w:rsidRDefault="00C52308" w:rsidP="00507361">
      <w:pPr>
        <w:spacing w:line="360" w:lineRule="auto"/>
        <w:rPr>
          <w:sz w:val="22"/>
          <w:szCs w:val="22"/>
        </w:rPr>
      </w:pPr>
    </w:p>
    <w:p w14:paraId="0CC231CA" w14:textId="7590F654" w:rsidR="00EF59CD" w:rsidRPr="00A70BED" w:rsidRDefault="00525A80" w:rsidP="00507361">
      <w:pPr>
        <w:spacing w:line="360" w:lineRule="auto"/>
        <w:rPr>
          <w:sz w:val="22"/>
          <w:szCs w:val="22"/>
        </w:rPr>
      </w:pPr>
      <w:r w:rsidRPr="00A70BED">
        <w:rPr>
          <w:sz w:val="22"/>
          <w:szCs w:val="22"/>
        </w:rPr>
        <w:t xml:space="preserve">The renal wards and services at LGH are </w:t>
      </w:r>
      <w:r w:rsidR="004D6A0C" w:rsidRPr="00A70BED">
        <w:rPr>
          <w:sz w:val="22"/>
          <w:szCs w:val="22"/>
        </w:rPr>
        <w:t xml:space="preserve">intrinsically linked </w:t>
      </w:r>
      <w:r w:rsidRPr="00A70BED">
        <w:rPr>
          <w:sz w:val="22"/>
          <w:szCs w:val="22"/>
        </w:rPr>
        <w:t>and, to some extent, interdependent</w:t>
      </w:r>
      <w:r w:rsidR="00CD41A3" w:rsidRPr="00A70BED">
        <w:rPr>
          <w:sz w:val="22"/>
          <w:szCs w:val="22"/>
        </w:rPr>
        <w:t xml:space="preserve"> in terms of the workforce, equipment and expertise</w:t>
      </w:r>
      <w:r w:rsidRPr="00A70BED">
        <w:rPr>
          <w:sz w:val="22"/>
          <w:szCs w:val="22"/>
        </w:rPr>
        <w:t xml:space="preserve">.  Facilities </w:t>
      </w:r>
      <w:r w:rsidR="0036132A" w:rsidRPr="00A70BED">
        <w:rPr>
          <w:sz w:val="22"/>
          <w:szCs w:val="22"/>
        </w:rPr>
        <w:t>include a renal pharmacy, a high dependency unit for nephrology and transplant patients (ward 15A), an inpatient and an outpatient haemodialysis unit, a day case area for minor procedures and the triaging of out</w:t>
      </w:r>
      <w:r w:rsidR="00EF59CD" w:rsidRPr="00A70BED">
        <w:rPr>
          <w:sz w:val="22"/>
          <w:szCs w:val="22"/>
        </w:rPr>
        <w:t>patients who have become unwell</w:t>
      </w:r>
      <w:r w:rsidR="000A61C5" w:rsidRPr="00A70BED">
        <w:rPr>
          <w:sz w:val="22"/>
          <w:szCs w:val="22"/>
        </w:rPr>
        <w:t xml:space="preserve"> (ward 10 </w:t>
      </w:r>
      <w:r w:rsidR="000A61C5" w:rsidRPr="00A70BED">
        <w:rPr>
          <w:sz w:val="22"/>
          <w:szCs w:val="22"/>
        </w:rPr>
        <w:lastRenderedPageBreak/>
        <w:t>day</w:t>
      </w:r>
      <w:r w:rsidRPr="00A70BED">
        <w:rPr>
          <w:sz w:val="22"/>
          <w:szCs w:val="22"/>
        </w:rPr>
        <w:t xml:space="preserve"> </w:t>
      </w:r>
      <w:r w:rsidR="000A61C5" w:rsidRPr="00A70BED">
        <w:rPr>
          <w:sz w:val="22"/>
          <w:szCs w:val="22"/>
        </w:rPr>
        <w:t>case)</w:t>
      </w:r>
      <w:r w:rsidR="0036132A" w:rsidRPr="00A70BED">
        <w:rPr>
          <w:sz w:val="22"/>
          <w:szCs w:val="22"/>
        </w:rPr>
        <w:t>, two nephrology inpatient wards (</w:t>
      </w:r>
      <w:r w:rsidR="00F75240" w:rsidRPr="00A70BED">
        <w:rPr>
          <w:sz w:val="22"/>
          <w:szCs w:val="22"/>
        </w:rPr>
        <w:t xml:space="preserve">wards </w:t>
      </w:r>
      <w:r w:rsidR="0036132A" w:rsidRPr="00A70BED">
        <w:rPr>
          <w:sz w:val="22"/>
          <w:szCs w:val="22"/>
        </w:rPr>
        <w:t xml:space="preserve">10 and 15N) and ward 17 which is for transplant patients and those with renal failure </w:t>
      </w:r>
      <w:r w:rsidR="00EF59CD" w:rsidRPr="00A70BED">
        <w:rPr>
          <w:sz w:val="22"/>
          <w:szCs w:val="22"/>
        </w:rPr>
        <w:t>requiring surgery associated with renal disease such as parathyroidectomy or dialysis access surgery.</w:t>
      </w:r>
      <w:r w:rsidR="0036132A" w:rsidRPr="00A70BED">
        <w:rPr>
          <w:sz w:val="22"/>
          <w:szCs w:val="22"/>
        </w:rPr>
        <w:t xml:space="preserve"> </w:t>
      </w:r>
      <w:r w:rsidR="005234AC" w:rsidRPr="00A70BED">
        <w:rPr>
          <w:sz w:val="22"/>
          <w:szCs w:val="22"/>
        </w:rPr>
        <w:t xml:space="preserve"> </w:t>
      </w:r>
      <w:r w:rsidR="00885888" w:rsidRPr="00A70BED">
        <w:rPr>
          <w:sz w:val="22"/>
          <w:szCs w:val="22"/>
        </w:rPr>
        <w:t xml:space="preserve"> </w:t>
      </w:r>
    </w:p>
    <w:p w14:paraId="4ABE2BEC" w14:textId="77777777" w:rsidR="00EF59CD" w:rsidRPr="00A70BED" w:rsidRDefault="00EF59CD" w:rsidP="00507361">
      <w:pPr>
        <w:spacing w:line="360" w:lineRule="auto"/>
        <w:rPr>
          <w:sz w:val="22"/>
          <w:szCs w:val="22"/>
        </w:rPr>
      </w:pPr>
    </w:p>
    <w:p w14:paraId="20D16ABC" w14:textId="76470B8C" w:rsidR="00EF59CD" w:rsidRPr="00A70BED" w:rsidRDefault="004D6A0C" w:rsidP="00507361">
      <w:pPr>
        <w:spacing w:line="360" w:lineRule="auto"/>
        <w:rPr>
          <w:sz w:val="22"/>
          <w:szCs w:val="22"/>
        </w:rPr>
      </w:pPr>
      <w:r w:rsidRPr="00A70BED">
        <w:rPr>
          <w:sz w:val="22"/>
          <w:szCs w:val="22"/>
        </w:rPr>
        <w:t>Patients are regularly moved around ward10</w:t>
      </w:r>
      <w:r w:rsidR="00C52308" w:rsidRPr="00A70BED">
        <w:rPr>
          <w:sz w:val="22"/>
          <w:szCs w:val="22"/>
        </w:rPr>
        <w:t xml:space="preserve"> Nephrology</w:t>
      </w:r>
      <w:r w:rsidRPr="00A70BED">
        <w:rPr>
          <w:sz w:val="22"/>
          <w:szCs w:val="22"/>
        </w:rPr>
        <w:t xml:space="preserve">, </w:t>
      </w:r>
      <w:r w:rsidR="00C52308" w:rsidRPr="00A70BED">
        <w:rPr>
          <w:sz w:val="22"/>
          <w:szCs w:val="22"/>
        </w:rPr>
        <w:t xml:space="preserve">ward 10 Day Case, ward </w:t>
      </w:r>
      <w:r w:rsidRPr="00A70BED">
        <w:rPr>
          <w:sz w:val="22"/>
          <w:szCs w:val="22"/>
        </w:rPr>
        <w:t>15</w:t>
      </w:r>
      <w:r w:rsidR="00C52308" w:rsidRPr="00A70BED">
        <w:rPr>
          <w:sz w:val="22"/>
          <w:szCs w:val="22"/>
        </w:rPr>
        <w:t xml:space="preserve"> </w:t>
      </w:r>
      <w:r w:rsidRPr="00A70BED">
        <w:rPr>
          <w:sz w:val="22"/>
          <w:szCs w:val="22"/>
        </w:rPr>
        <w:t>N</w:t>
      </w:r>
      <w:r w:rsidR="00C52308" w:rsidRPr="00A70BED">
        <w:rPr>
          <w:sz w:val="22"/>
          <w:szCs w:val="22"/>
        </w:rPr>
        <w:t>ephrology</w:t>
      </w:r>
      <w:r w:rsidRPr="00A70BED">
        <w:rPr>
          <w:sz w:val="22"/>
          <w:szCs w:val="22"/>
        </w:rPr>
        <w:t xml:space="preserve">, </w:t>
      </w:r>
      <w:r w:rsidR="00C52308" w:rsidRPr="00A70BED">
        <w:rPr>
          <w:sz w:val="22"/>
          <w:szCs w:val="22"/>
        </w:rPr>
        <w:t xml:space="preserve">ward </w:t>
      </w:r>
      <w:r w:rsidRPr="00A70BED">
        <w:rPr>
          <w:sz w:val="22"/>
          <w:szCs w:val="22"/>
        </w:rPr>
        <w:t>15</w:t>
      </w:r>
      <w:r w:rsidR="00C52308" w:rsidRPr="00A70BED">
        <w:rPr>
          <w:sz w:val="22"/>
          <w:szCs w:val="22"/>
        </w:rPr>
        <w:t xml:space="preserve"> </w:t>
      </w:r>
      <w:r w:rsidRPr="00A70BED">
        <w:rPr>
          <w:sz w:val="22"/>
          <w:szCs w:val="22"/>
        </w:rPr>
        <w:t>A</w:t>
      </w:r>
      <w:r w:rsidR="00C52308" w:rsidRPr="00A70BED">
        <w:rPr>
          <w:sz w:val="22"/>
          <w:szCs w:val="22"/>
        </w:rPr>
        <w:t>cute</w:t>
      </w:r>
      <w:r w:rsidR="00AC1314">
        <w:rPr>
          <w:sz w:val="22"/>
          <w:szCs w:val="22"/>
        </w:rPr>
        <w:t>,</w:t>
      </w:r>
      <w:r w:rsidRPr="00A70BED">
        <w:rPr>
          <w:sz w:val="22"/>
          <w:szCs w:val="22"/>
        </w:rPr>
        <w:t xml:space="preserve"> </w:t>
      </w:r>
      <w:r w:rsidR="00C52308" w:rsidRPr="00A70BED">
        <w:rPr>
          <w:sz w:val="22"/>
          <w:szCs w:val="22"/>
        </w:rPr>
        <w:t xml:space="preserve">ward </w:t>
      </w:r>
      <w:r w:rsidRPr="00A70BED">
        <w:rPr>
          <w:sz w:val="22"/>
          <w:szCs w:val="22"/>
        </w:rPr>
        <w:t>17</w:t>
      </w:r>
      <w:r w:rsidR="00525A80" w:rsidRPr="00A70BED">
        <w:rPr>
          <w:sz w:val="22"/>
          <w:szCs w:val="22"/>
        </w:rPr>
        <w:t xml:space="preserve"> </w:t>
      </w:r>
      <w:r w:rsidR="001C7C49">
        <w:rPr>
          <w:sz w:val="22"/>
          <w:szCs w:val="22"/>
        </w:rPr>
        <w:t>T</w:t>
      </w:r>
      <w:r w:rsidR="00C52308" w:rsidRPr="00A70BED">
        <w:rPr>
          <w:sz w:val="22"/>
          <w:szCs w:val="22"/>
        </w:rPr>
        <w:t>ransplant</w:t>
      </w:r>
      <w:r w:rsidR="00AC1314">
        <w:rPr>
          <w:sz w:val="22"/>
          <w:szCs w:val="22"/>
        </w:rPr>
        <w:t>,</w:t>
      </w:r>
      <w:r w:rsidR="00C52308" w:rsidRPr="00A70BED">
        <w:rPr>
          <w:sz w:val="22"/>
          <w:szCs w:val="22"/>
        </w:rPr>
        <w:t xml:space="preserve"> and inpatient dialysis </w:t>
      </w:r>
      <w:r w:rsidR="00525A80" w:rsidRPr="00A70BED">
        <w:rPr>
          <w:sz w:val="22"/>
          <w:szCs w:val="22"/>
        </w:rPr>
        <w:t>according to clinical need and bed capacity</w:t>
      </w:r>
      <w:r w:rsidRPr="00A70BED">
        <w:rPr>
          <w:sz w:val="22"/>
          <w:szCs w:val="22"/>
        </w:rPr>
        <w:t xml:space="preserve">.  Nursing </w:t>
      </w:r>
      <w:r w:rsidR="00FB51D6" w:rsidRPr="00A70BED">
        <w:rPr>
          <w:sz w:val="22"/>
          <w:szCs w:val="22"/>
        </w:rPr>
        <w:t>personnel</w:t>
      </w:r>
      <w:r w:rsidRPr="00A70BED">
        <w:rPr>
          <w:sz w:val="22"/>
          <w:szCs w:val="22"/>
        </w:rPr>
        <w:t xml:space="preserve"> are also moved</w:t>
      </w:r>
      <w:r w:rsidR="00B07598" w:rsidRPr="00A70BED">
        <w:rPr>
          <w:sz w:val="22"/>
          <w:szCs w:val="22"/>
        </w:rPr>
        <w:t xml:space="preserve"> around the wards</w:t>
      </w:r>
      <w:r w:rsidRPr="00A70BED">
        <w:rPr>
          <w:sz w:val="22"/>
          <w:szCs w:val="22"/>
        </w:rPr>
        <w:t xml:space="preserve"> to meet staff</w:t>
      </w:r>
      <w:r w:rsidR="00CD41A3" w:rsidRPr="00A70BED">
        <w:rPr>
          <w:sz w:val="22"/>
          <w:szCs w:val="22"/>
        </w:rPr>
        <w:t xml:space="preserve"> or skills</w:t>
      </w:r>
      <w:r w:rsidRPr="00A70BED">
        <w:rPr>
          <w:sz w:val="22"/>
          <w:szCs w:val="22"/>
        </w:rPr>
        <w:t xml:space="preserve"> shortages</w:t>
      </w:r>
      <w:r w:rsidR="00AE74CE" w:rsidRPr="00A70BED">
        <w:rPr>
          <w:sz w:val="22"/>
          <w:szCs w:val="22"/>
        </w:rPr>
        <w:t>, demands for more specialist expertise</w:t>
      </w:r>
      <w:r w:rsidRPr="00A70BED">
        <w:rPr>
          <w:sz w:val="22"/>
          <w:szCs w:val="22"/>
        </w:rPr>
        <w:t xml:space="preserve"> </w:t>
      </w:r>
      <w:r w:rsidR="00AE74CE" w:rsidRPr="00A70BED">
        <w:rPr>
          <w:sz w:val="22"/>
          <w:szCs w:val="22"/>
        </w:rPr>
        <w:t>such as haemodialysis</w:t>
      </w:r>
      <w:r w:rsidR="00B07598" w:rsidRPr="00A70BED">
        <w:rPr>
          <w:sz w:val="22"/>
          <w:szCs w:val="22"/>
        </w:rPr>
        <w:t>,</w:t>
      </w:r>
      <w:r w:rsidR="00AE74CE" w:rsidRPr="00A70BED">
        <w:rPr>
          <w:sz w:val="22"/>
          <w:szCs w:val="22"/>
        </w:rPr>
        <w:t xml:space="preserve"> </w:t>
      </w:r>
      <w:r w:rsidRPr="00A70BED">
        <w:rPr>
          <w:sz w:val="22"/>
          <w:szCs w:val="22"/>
        </w:rPr>
        <w:t xml:space="preserve">or heavier workloads across the wards.  These nurses are experienced in delivering </w:t>
      </w:r>
      <w:r w:rsidR="002B4FD3">
        <w:rPr>
          <w:sz w:val="22"/>
          <w:szCs w:val="22"/>
        </w:rPr>
        <w:t>renal-</w:t>
      </w:r>
      <w:r w:rsidR="00CD41A3" w:rsidRPr="00A70BED">
        <w:rPr>
          <w:sz w:val="22"/>
          <w:szCs w:val="22"/>
        </w:rPr>
        <w:t xml:space="preserve">specific </w:t>
      </w:r>
      <w:r w:rsidRPr="00A70BED">
        <w:rPr>
          <w:sz w:val="22"/>
          <w:szCs w:val="22"/>
        </w:rPr>
        <w:t>care to patients with kidney disease</w:t>
      </w:r>
      <w:r w:rsidR="00AE74CE" w:rsidRPr="00A70BED">
        <w:rPr>
          <w:sz w:val="22"/>
          <w:szCs w:val="22"/>
        </w:rPr>
        <w:t xml:space="preserve">.  Nephrology and transplant </w:t>
      </w:r>
      <w:r w:rsidR="00C52308" w:rsidRPr="00A70BED">
        <w:rPr>
          <w:sz w:val="22"/>
          <w:szCs w:val="22"/>
        </w:rPr>
        <w:t>doctors</w:t>
      </w:r>
      <w:r w:rsidR="00F75240" w:rsidRPr="00A70BED">
        <w:rPr>
          <w:sz w:val="22"/>
          <w:szCs w:val="22"/>
        </w:rPr>
        <w:t>, dieticians, pharmacists, physiotherapists and occupational therapists</w:t>
      </w:r>
      <w:r w:rsidR="00AE74CE" w:rsidRPr="00A70BED">
        <w:rPr>
          <w:sz w:val="22"/>
          <w:szCs w:val="22"/>
        </w:rPr>
        <w:t xml:space="preserve"> also work across the wards. </w:t>
      </w:r>
    </w:p>
    <w:p w14:paraId="31CD7F52" w14:textId="77777777" w:rsidR="00CD41A3" w:rsidRPr="00A70BED" w:rsidRDefault="00CD41A3" w:rsidP="00507361">
      <w:pPr>
        <w:spacing w:line="360" w:lineRule="auto"/>
        <w:rPr>
          <w:sz w:val="22"/>
          <w:szCs w:val="22"/>
        </w:rPr>
      </w:pPr>
    </w:p>
    <w:p w14:paraId="44C98713" w14:textId="2CA9A8AD" w:rsidR="00EF59CD" w:rsidRPr="00A70BED" w:rsidRDefault="007C6588" w:rsidP="00507361">
      <w:pPr>
        <w:spacing w:line="360" w:lineRule="auto"/>
        <w:rPr>
          <w:sz w:val="22"/>
          <w:szCs w:val="22"/>
        </w:rPr>
      </w:pPr>
      <w:r>
        <w:rPr>
          <w:sz w:val="22"/>
          <w:szCs w:val="22"/>
        </w:rPr>
        <w:t xml:space="preserve">The </w:t>
      </w:r>
      <w:r w:rsidR="00B07598" w:rsidRPr="00A70BED">
        <w:rPr>
          <w:sz w:val="22"/>
          <w:szCs w:val="22"/>
        </w:rPr>
        <w:t>on-</w:t>
      </w:r>
      <w:r w:rsidR="00AE74CE" w:rsidRPr="00A70BED">
        <w:rPr>
          <w:sz w:val="22"/>
          <w:szCs w:val="22"/>
        </w:rPr>
        <w:t>site renal pharmacy</w:t>
      </w:r>
      <w:r>
        <w:rPr>
          <w:sz w:val="22"/>
          <w:szCs w:val="22"/>
        </w:rPr>
        <w:t xml:space="preserve"> is staffed by pharmacists who are expert</w:t>
      </w:r>
      <w:r w:rsidR="00095FF4">
        <w:rPr>
          <w:sz w:val="22"/>
          <w:szCs w:val="22"/>
        </w:rPr>
        <w:t>s</w:t>
      </w:r>
      <w:r>
        <w:rPr>
          <w:sz w:val="22"/>
          <w:szCs w:val="22"/>
        </w:rPr>
        <w:t xml:space="preserve"> in </w:t>
      </w:r>
      <w:r w:rsidR="00095FF4">
        <w:rPr>
          <w:sz w:val="22"/>
          <w:szCs w:val="22"/>
        </w:rPr>
        <w:t>the management of renal drugs</w:t>
      </w:r>
      <w:r w:rsidR="00AE74CE" w:rsidRPr="00A70BED">
        <w:rPr>
          <w:sz w:val="22"/>
          <w:szCs w:val="22"/>
        </w:rPr>
        <w:t xml:space="preserve">.  The pharmacists </w:t>
      </w:r>
      <w:r w:rsidR="00095FF4">
        <w:rPr>
          <w:sz w:val="22"/>
          <w:szCs w:val="22"/>
        </w:rPr>
        <w:t xml:space="preserve">who, </w:t>
      </w:r>
      <w:r w:rsidR="00AE74CE" w:rsidRPr="00A70BED">
        <w:rPr>
          <w:sz w:val="22"/>
          <w:szCs w:val="22"/>
        </w:rPr>
        <w:t>a</w:t>
      </w:r>
      <w:r w:rsidR="00095FF4">
        <w:rPr>
          <w:sz w:val="22"/>
          <w:szCs w:val="22"/>
        </w:rPr>
        <w:t>s</w:t>
      </w:r>
      <w:r w:rsidR="00AE74CE" w:rsidRPr="00A70BED">
        <w:rPr>
          <w:sz w:val="22"/>
          <w:szCs w:val="22"/>
        </w:rPr>
        <w:t xml:space="preserve"> experts in the management of renal drugs</w:t>
      </w:r>
      <w:r w:rsidR="00095FF4">
        <w:rPr>
          <w:sz w:val="22"/>
          <w:szCs w:val="22"/>
        </w:rPr>
        <w:t>, offer essential</w:t>
      </w:r>
      <w:r w:rsidR="00AE74CE" w:rsidRPr="00A70BED">
        <w:rPr>
          <w:sz w:val="22"/>
          <w:szCs w:val="22"/>
        </w:rPr>
        <w:t xml:space="preserve"> advice to staff and patients.  Specific renal transplant drugs, for example anti-rejection medication</w:t>
      </w:r>
      <w:r w:rsidR="00B07598" w:rsidRPr="00A70BED">
        <w:rPr>
          <w:sz w:val="22"/>
          <w:szCs w:val="22"/>
        </w:rPr>
        <w:t>,</w:t>
      </w:r>
      <w:r w:rsidR="005627A8" w:rsidRPr="00A70BED">
        <w:rPr>
          <w:sz w:val="22"/>
          <w:szCs w:val="22"/>
        </w:rPr>
        <w:t xml:space="preserve"> are dispensed by the renal pharmacy. </w:t>
      </w:r>
    </w:p>
    <w:p w14:paraId="36D5A0BB" w14:textId="77777777" w:rsidR="007E6F4B" w:rsidRPr="00A70BED" w:rsidRDefault="007E6F4B" w:rsidP="00507361">
      <w:pPr>
        <w:spacing w:line="360" w:lineRule="auto"/>
        <w:rPr>
          <w:sz w:val="22"/>
          <w:szCs w:val="22"/>
        </w:rPr>
      </w:pPr>
    </w:p>
    <w:p w14:paraId="2C65DE38" w14:textId="7A49401F" w:rsidR="007E6F4B" w:rsidRPr="0063375A" w:rsidRDefault="003F73E3" w:rsidP="00507361">
      <w:pPr>
        <w:spacing w:line="360" w:lineRule="auto"/>
        <w:rPr>
          <w:sz w:val="22"/>
          <w:szCs w:val="22"/>
        </w:rPr>
      </w:pPr>
      <w:r w:rsidRPr="00A70BED">
        <w:rPr>
          <w:sz w:val="22"/>
          <w:szCs w:val="22"/>
        </w:rPr>
        <w:t xml:space="preserve">To circumvent possible objections to the re-siting of RT away from the nephrology wards </w:t>
      </w:r>
      <w:r w:rsidR="001542AA" w:rsidRPr="00A70BED">
        <w:rPr>
          <w:sz w:val="22"/>
          <w:szCs w:val="22"/>
        </w:rPr>
        <w:t>and associated facilities</w:t>
      </w:r>
      <w:r w:rsidRPr="00A70BED">
        <w:rPr>
          <w:sz w:val="22"/>
          <w:szCs w:val="22"/>
        </w:rPr>
        <w:t>, the FBC states that the re</w:t>
      </w:r>
      <w:r w:rsidR="00FB51D6" w:rsidRPr="00A70BED">
        <w:rPr>
          <w:sz w:val="22"/>
          <w:szCs w:val="22"/>
        </w:rPr>
        <w:t>location</w:t>
      </w:r>
      <w:r w:rsidRPr="00A70BED">
        <w:rPr>
          <w:sz w:val="22"/>
          <w:szCs w:val="22"/>
        </w:rPr>
        <w:t xml:space="preserve"> of nephrology to Glenfield Hospital is a </w:t>
      </w:r>
      <w:r w:rsidR="00565095" w:rsidRPr="00A70BED">
        <w:rPr>
          <w:sz w:val="22"/>
          <w:szCs w:val="22"/>
        </w:rPr>
        <w:t>‘</w:t>
      </w:r>
      <w:r w:rsidRPr="00A70BED">
        <w:rPr>
          <w:sz w:val="22"/>
          <w:szCs w:val="22"/>
        </w:rPr>
        <w:t>separate business case</w:t>
      </w:r>
      <w:r w:rsidR="00565095" w:rsidRPr="00A70BED">
        <w:rPr>
          <w:sz w:val="22"/>
          <w:szCs w:val="22"/>
        </w:rPr>
        <w:t>’.  When questioned at the E</w:t>
      </w:r>
      <w:r w:rsidR="00F16740" w:rsidRPr="00A70BED">
        <w:rPr>
          <w:sz w:val="22"/>
          <w:szCs w:val="22"/>
        </w:rPr>
        <w:t xml:space="preserve">ast </w:t>
      </w:r>
      <w:r w:rsidR="00565095" w:rsidRPr="00A70BED">
        <w:rPr>
          <w:sz w:val="22"/>
          <w:szCs w:val="22"/>
        </w:rPr>
        <w:t>L</w:t>
      </w:r>
      <w:r w:rsidR="00F16740" w:rsidRPr="00A70BED">
        <w:rPr>
          <w:sz w:val="22"/>
          <w:szCs w:val="22"/>
        </w:rPr>
        <w:t xml:space="preserve">eicestershire and </w:t>
      </w:r>
      <w:r w:rsidR="00565095" w:rsidRPr="00A70BED">
        <w:rPr>
          <w:sz w:val="22"/>
          <w:szCs w:val="22"/>
        </w:rPr>
        <w:t>R</w:t>
      </w:r>
      <w:r w:rsidR="00F16740" w:rsidRPr="00A70BED">
        <w:rPr>
          <w:sz w:val="22"/>
          <w:szCs w:val="22"/>
        </w:rPr>
        <w:t>utland</w:t>
      </w:r>
      <w:r w:rsidR="00565095" w:rsidRPr="00A70BED">
        <w:rPr>
          <w:sz w:val="22"/>
          <w:szCs w:val="22"/>
        </w:rPr>
        <w:t xml:space="preserve"> CCG meeting on 10th July, UHL representatives said this move </w:t>
      </w:r>
      <w:r w:rsidR="00A7383B" w:rsidRPr="00A70BED">
        <w:rPr>
          <w:sz w:val="22"/>
          <w:szCs w:val="22"/>
        </w:rPr>
        <w:t>would</w:t>
      </w:r>
      <w:r w:rsidR="00565095" w:rsidRPr="00A70BED">
        <w:rPr>
          <w:sz w:val="22"/>
          <w:szCs w:val="22"/>
        </w:rPr>
        <w:t xml:space="preserve"> happen 6-12 </w:t>
      </w:r>
      <w:r w:rsidR="00565095" w:rsidRPr="0063375A">
        <w:rPr>
          <w:sz w:val="22"/>
          <w:szCs w:val="22"/>
        </w:rPr>
        <w:t>m</w:t>
      </w:r>
      <w:r w:rsidR="00956AD0" w:rsidRPr="0063375A">
        <w:rPr>
          <w:sz w:val="22"/>
          <w:szCs w:val="22"/>
        </w:rPr>
        <w:t xml:space="preserve">onths after RT has been moved. </w:t>
      </w:r>
    </w:p>
    <w:p w14:paraId="16A87572" w14:textId="77777777" w:rsidR="002B4FD3" w:rsidRPr="0063375A" w:rsidRDefault="002B4FD3" w:rsidP="00507361">
      <w:pPr>
        <w:spacing w:line="360" w:lineRule="auto"/>
        <w:rPr>
          <w:sz w:val="22"/>
          <w:szCs w:val="22"/>
        </w:rPr>
      </w:pPr>
    </w:p>
    <w:p w14:paraId="4EE62A8C" w14:textId="77154432" w:rsidR="00383C8F" w:rsidRPr="0063375A" w:rsidRDefault="007E6F4B" w:rsidP="00507361">
      <w:pPr>
        <w:spacing w:line="360" w:lineRule="auto"/>
        <w:rPr>
          <w:sz w:val="22"/>
          <w:szCs w:val="22"/>
        </w:rPr>
      </w:pPr>
      <w:r w:rsidRPr="0063375A">
        <w:rPr>
          <w:sz w:val="22"/>
          <w:szCs w:val="22"/>
        </w:rPr>
        <w:t>The resulting doubts, concerns and questions we have identified are listed below:</w:t>
      </w:r>
    </w:p>
    <w:p w14:paraId="241367B5" w14:textId="77777777" w:rsidR="001E0252" w:rsidRPr="0063375A" w:rsidRDefault="001E0252" w:rsidP="00507361">
      <w:pPr>
        <w:spacing w:line="360" w:lineRule="auto"/>
        <w:rPr>
          <w:sz w:val="22"/>
          <w:szCs w:val="22"/>
        </w:rPr>
      </w:pPr>
    </w:p>
    <w:p w14:paraId="33D68F98" w14:textId="09BC16E7" w:rsidR="001542AA" w:rsidRPr="0063375A" w:rsidRDefault="00383C8F" w:rsidP="00507361">
      <w:pPr>
        <w:pStyle w:val="ListParagraph"/>
        <w:numPr>
          <w:ilvl w:val="0"/>
          <w:numId w:val="20"/>
        </w:numPr>
        <w:spacing w:line="360" w:lineRule="auto"/>
        <w:rPr>
          <w:sz w:val="22"/>
          <w:szCs w:val="22"/>
        </w:rPr>
      </w:pPr>
      <w:r w:rsidRPr="0063375A">
        <w:rPr>
          <w:sz w:val="22"/>
          <w:szCs w:val="22"/>
        </w:rPr>
        <w:t>The risk assessment acknowledges some separation of linked</w:t>
      </w:r>
      <w:r w:rsidR="00F16740" w:rsidRPr="0063375A">
        <w:rPr>
          <w:sz w:val="22"/>
          <w:szCs w:val="22"/>
        </w:rPr>
        <w:t xml:space="preserve"> and interdependent</w:t>
      </w:r>
      <w:r w:rsidRPr="0063375A">
        <w:rPr>
          <w:sz w:val="22"/>
          <w:szCs w:val="22"/>
        </w:rPr>
        <w:t xml:space="preserve"> services (p106).  Specific details about how such r</w:t>
      </w:r>
      <w:r w:rsidR="00F75240" w:rsidRPr="0063375A">
        <w:rPr>
          <w:sz w:val="22"/>
          <w:szCs w:val="22"/>
        </w:rPr>
        <w:t>isks are</w:t>
      </w:r>
      <w:r w:rsidR="00D94D9C" w:rsidRPr="0063375A">
        <w:rPr>
          <w:sz w:val="22"/>
          <w:szCs w:val="22"/>
        </w:rPr>
        <w:t xml:space="preserve"> to be mitigated should be provided.</w:t>
      </w:r>
      <w:r w:rsidRPr="0063375A">
        <w:rPr>
          <w:sz w:val="22"/>
          <w:szCs w:val="22"/>
        </w:rPr>
        <w:t xml:space="preserve"> </w:t>
      </w:r>
      <w:r w:rsidR="006A2185" w:rsidRPr="0063375A">
        <w:rPr>
          <w:sz w:val="22"/>
          <w:szCs w:val="22"/>
        </w:rPr>
        <w:t xml:space="preserve"> </w:t>
      </w:r>
    </w:p>
    <w:p w14:paraId="6EFB1B91" w14:textId="77777777" w:rsidR="00383C8F" w:rsidRPr="0063375A" w:rsidRDefault="00383C8F" w:rsidP="00507361">
      <w:pPr>
        <w:spacing w:line="360" w:lineRule="auto"/>
        <w:ind w:left="360"/>
        <w:rPr>
          <w:i/>
          <w:sz w:val="22"/>
          <w:szCs w:val="22"/>
        </w:rPr>
      </w:pPr>
    </w:p>
    <w:p w14:paraId="2D035520" w14:textId="13D5BCE3" w:rsidR="00525A80" w:rsidRPr="00A70BED" w:rsidRDefault="00525A80" w:rsidP="00507361">
      <w:pPr>
        <w:pStyle w:val="ListParagraph"/>
        <w:numPr>
          <w:ilvl w:val="0"/>
          <w:numId w:val="20"/>
        </w:numPr>
        <w:spacing w:line="360" w:lineRule="auto"/>
        <w:rPr>
          <w:sz w:val="22"/>
          <w:szCs w:val="22"/>
        </w:rPr>
      </w:pPr>
      <w:r w:rsidRPr="0063375A">
        <w:rPr>
          <w:sz w:val="22"/>
          <w:szCs w:val="22"/>
        </w:rPr>
        <w:t>R</w:t>
      </w:r>
      <w:r w:rsidR="00095FF4" w:rsidRPr="0063375A">
        <w:rPr>
          <w:sz w:val="22"/>
          <w:szCs w:val="22"/>
        </w:rPr>
        <w:t>enal transplant</w:t>
      </w:r>
      <w:r w:rsidRPr="0063375A">
        <w:rPr>
          <w:sz w:val="22"/>
          <w:szCs w:val="22"/>
        </w:rPr>
        <w:t xml:space="preserve"> will </w:t>
      </w:r>
      <w:r w:rsidR="002B4FD3" w:rsidRPr="0063375A">
        <w:rPr>
          <w:sz w:val="22"/>
          <w:szCs w:val="22"/>
        </w:rPr>
        <w:t>need to stand</w:t>
      </w:r>
      <w:r w:rsidR="002B4FD3">
        <w:rPr>
          <w:sz w:val="22"/>
          <w:szCs w:val="22"/>
        </w:rPr>
        <w:t xml:space="preserve"> </w:t>
      </w:r>
      <w:r w:rsidRPr="00A70BED">
        <w:rPr>
          <w:sz w:val="22"/>
          <w:szCs w:val="22"/>
        </w:rPr>
        <w:t>a</w:t>
      </w:r>
      <w:r w:rsidR="00095FF4">
        <w:rPr>
          <w:sz w:val="22"/>
          <w:szCs w:val="22"/>
        </w:rPr>
        <w:t>part</w:t>
      </w:r>
      <w:r w:rsidRPr="00A70BED">
        <w:rPr>
          <w:sz w:val="22"/>
          <w:szCs w:val="22"/>
        </w:rPr>
        <w:t xml:space="preserve"> from the shared expertise of the renal unit as a whole</w:t>
      </w:r>
      <w:r w:rsidR="00383C8F" w:rsidRPr="00A70BED">
        <w:rPr>
          <w:sz w:val="22"/>
          <w:szCs w:val="22"/>
        </w:rPr>
        <w:t>.  This poses challenges for adequate staffing and potentially, the loss of the ability to move patients around the wards.  This will reduce flexibility in bed usage at a time of rising need.</w:t>
      </w:r>
    </w:p>
    <w:p w14:paraId="6E8D019E" w14:textId="77777777" w:rsidR="007E6F4B" w:rsidRPr="00A70BED" w:rsidRDefault="007E6F4B" w:rsidP="00507361">
      <w:pPr>
        <w:spacing w:line="360" w:lineRule="auto"/>
        <w:rPr>
          <w:sz w:val="22"/>
          <w:szCs w:val="22"/>
        </w:rPr>
      </w:pPr>
    </w:p>
    <w:p w14:paraId="65BFE4FD" w14:textId="17A1B3F3" w:rsidR="0079114E" w:rsidRPr="0063375A" w:rsidRDefault="0096341E" w:rsidP="0079114E">
      <w:pPr>
        <w:pStyle w:val="ListParagraph"/>
        <w:numPr>
          <w:ilvl w:val="0"/>
          <w:numId w:val="20"/>
        </w:numPr>
        <w:spacing w:line="360" w:lineRule="auto"/>
        <w:ind w:hanging="57"/>
        <w:rPr>
          <w:sz w:val="22"/>
          <w:szCs w:val="22"/>
          <w:lang w:val="en-US"/>
        </w:rPr>
      </w:pPr>
      <w:r w:rsidRPr="0063375A">
        <w:rPr>
          <w:sz w:val="22"/>
          <w:szCs w:val="22"/>
          <w:lang w:val="en-US"/>
        </w:rPr>
        <w:lastRenderedPageBreak/>
        <w:t xml:space="preserve">The FBC acknowledges the unsustainability of separated services. </w:t>
      </w:r>
      <w:r w:rsidR="0079114E" w:rsidRPr="0063375A">
        <w:rPr>
          <w:sz w:val="22"/>
          <w:szCs w:val="22"/>
          <w:lang w:val="en-US"/>
        </w:rPr>
        <w:t xml:space="preserve">With regard to the splitting of services, NHS England’s Service Specifications for adult kidney transplant services </w:t>
      </w:r>
      <w:r w:rsidR="00316483" w:rsidRPr="0063375A">
        <w:rPr>
          <w:sz w:val="22"/>
          <w:szCs w:val="22"/>
          <w:lang w:val="en-US"/>
        </w:rPr>
        <w:t>indicate the importance of co-located services</w:t>
      </w:r>
      <w:r w:rsidR="0079114E" w:rsidRPr="0063375A">
        <w:rPr>
          <w:sz w:val="22"/>
          <w:szCs w:val="22"/>
          <w:lang w:val="en-US"/>
        </w:rPr>
        <w:t>:</w:t>
      </w:r>
    </w:p>
    <w:p w14:paraId="0DC0A3BE" w14:textId="77777777" w:rsidR="0079114E" w:rsidRPr="0063375A" w:rsidRDefault="0079114E" w:rsidP="0079114E">
      <w:pPr>
        <w:pStyle w:val="ListParagraph"/>
        <w:ind w:left="624"/>
        <w:rPr>
          <w:sz w:val="22"/>
          <w:szCs w:val="22"/>
          <w:lang w:val="en-US"/>
        </w:rPr>
      </w:pPr>
    </w:p>
    <w:p w14:paraId="32565DBB" w14:textId="77777777" w:rsidR="0079114E" w:rsidRPr="0063375A" w:rsidRDefault="0079114E" w:rsidP="0079114E">
      <w:pPr>
        <w:pStyle w:val="ListParagraph"/>
        <w:autoSpaceDE w:val="0"/>
        <w:autoSpaceDN w:val="0"/>
        <w:adjustRightInd w:val="0"/>
        <w:spacing w:line="360" w:lineRule="auto"/>
        <w:ind w:left="624"/>
        <w:rPr>
          <w:b/>
          <w:bCs/>
          <w:sz w:val="22"/>
          <w:szCs w:val="22"/>
        </w:rPr>
      </w:pPr>
      <w:r w:rsidRPr="0063375A">
        <w:rPr>
          <w:bCs/>
          <w:sz w:val="22"/>
          <w:szCs w:val="22"/>
        </w:rPr>
        <w:t>“</w:t>
      </w:r>
      <w:r w:rsidRPr="0063375A">
        <w:rPr>
          <w:b/>
          <w:bCs/>
          <w:sz w:val="22"/>
          <w:szCs w:val="22"/>
        </w:rPr>
        <w:t>3.5 Interdependencies with other services/providers</w:t>
      </w:r>
    </w:p>
    <w:p w14:paraId="3656A121" w14:textId="3E01CC01" w:rsidR="0079114E" w:rsidRPr="0063375A" w:rsidRDefault="00E408B2" w:rsidP="0079114E">
      <w:pPr>
        <w:pStyle w:val="ListParagraph"/>
        <w:autoSpaceDE w:val="0"/>
        <w:autoSpaceDN w:val="0"/>
        <w:adjustRightInd w:val="0"/>
        <w:spacing w:line="360" w:lineRule="auto"/>
        <w:ind w:left="624"/>
        <w:rPr>
          <w:sz w:val="22"/>
          <w:szCs w:val="22"/>
        </w:rPr>
      </w:pPr>
      <w:r>
        <w:rPr>
          <w:sz w:val="22"/>
          <w:szCs w:val="22"/>
        </w:rPr>
        <w:t>…</w:t>
      </w:r>
      <w:r w:rsidR="0079114E" w:rsidRPr="0063375A">
        <w:rPr>
          <w:sz w:val="22"/>
          <w:szCs w:val="22"/>
        </w:rPr>
        <w:t>Optimum delivery of the agreed pathways requires effective working relationships with the following services and organisations, but not limited to:</w:t>
      </w:r>
    </w:p>
    <w:p w14:paraId="347052CB" w14:textId="77777777" w:rsidR="0079114E" w:rsidRPr="0063375A" w:rsidRDefault="0079114E" w:rsidP="0079114E">
      <w:pPr>
        <w:pStyle w:val="ListParagraph"/>
        <w:autoSpaceDE w:val="0"/>
        <w:autoSpaceDN w:val="0"/>
        <w:adjustRightInd w:val="0"/>
        <w:spacing w:line="360" w:lineRule="auto"/>
        <w:ind w:left="624"/>
        <w:rPr>
          <w:sz w:val="22"/>
          <w:szCs w:val="22"/>
        </w:rPr>
      </w:pPr>
      <w:r w:rsidRPr="0063375A">
        <w:rPr>
          <w:sz w:val="22"/>
          <w:szCs w:val="22"/>
        </w:rPr>
        <w:t>Co-located services (need to be provided on the same site)</w:t>
      </w:r>
    </w:p>
    <w:p w14:paraId="54250D7C" w14:textId="77777777" w:rsidR="0079114E" w:rsidRPr="0063375A" w:rsidRDefault="0079114E" w:rsidP="0079114E">
      <w:pPr>
        <w:pStyle w:val="ListParagraph"/>
        <w:autoSpaceDE w:val="0"/>
        <w:autoSpaceDN w:val="0"/>
        <w:adjustRightInd w:val="0"/>
        <w:spacing w:line="360" w:lineRule="auto"/>
        <w:ind w:left="624"/>
        <w:rPr>
          <w:sz w:val="22"/>
          <w:szCs w:val="22"/>
        </w:rPr>
      </w:pPr>
      <w:r w:rsidRPr="0063375A">
        <w:rPr>
          <w:sz w:val="22"/>
          <w:szCs w:val="22"/>
        </w:rPr>
        <w:t>• Nephrology</w:t>
      </w:r>
    </w:p>
    <w:p w14:paraId="2C8342C9" w14:textId="77777777" w:rsidR="0079114E" w:rsidRPr="0063375A" w:rsidRDefault="0079114E" w:rsidP="0079114E">
      <w:pPr>
        <w:pStyle w:val="ListParagraph"/>
        <w:autoSpaceDE w:val="0"/>
        <w:autoSpaceDN w:val="0"/>
        <w:adjustRightInd w:val="0"/>
        <w:spacing w:line="360" w:lineRule="auto"/>
        <w:ind w:left="624"/>
        <w:rPr>
          <w:sz w:val="22"/>
          <w:szCs w:val="22"/>
        </w:rPr>
      </w:pPr>
      <w:r w:rsidRPr="0063375A">
        <w:rPr>
          <w:sz w:val="22"/>
          <w:szCs w:val="22"/>
        </w:rPr>
        <w:t>• Intensive care</w:t>
      </w:r>
    </w:p>
    <w:p w14:paraId="42A5F2B5" w14:textId="77777777" w:rsidR="0079114E" w:rsidRPr="0063375A" w:rsidRDefault="0079114E" w:rsidP="0079114E">
      <w:pPr>
        <w:pStyle w:val="ListParagraph"/>
        <w:autoSpaceDE w:val="0"/>
        <w:autoSpaceDN w:val="0"/>
        <w:adjustRightInd w:val="0"/>
        <w:spacing w:line="360" w:lineRule="auto"/>
        <w:ind w:left="624"/>
        <w:rPr>
          <w:sz w:val="22"/>
          <w:szCs w:val="22"/>
        </w:rPr>
      </w:pPr>
      <w:r w:rsidRPr="0063375A">
        <w:rPr>
          <w:sz w:val="22"/>
          <w:szCs w:val="22"/>
        </w:rPr>
        <w:t>• Theatre and anaesthetic departments</w:t>
      </w:r>
    </w:p>
    <w:p w14:paraId="735CF3D9" w14:textId="77777777" w:rsidR="0079114E" w:rsidRPr="0063375A" w:rsidRDefault="0079114E" w:rsidP="0079114E">
      <w:pPr>
        <w:pStyle w:val="ListParagraph"/>
        <w:autoSpaceDE w:val="0"/>
        <w:autoSpaceDN w:val="0"/>
        <w:adjustRightInd w:val="0"/>
        <w:spacing w:line="360" w:lineRule="auto"/>
        <w:ind w:left="624"/>
        <w:rPr>
          <w:sz w:val="22"/>
          <w:szCs w:val="22"/>
        </w:rPr>
      </w:pPr>
      <w:r w:rsidRPr="0063375A">
        <w:rPr>
          <w:sz w:val="22"/>
          <w:szCs w:val="22"/>
        </w:rPr>
        <w:t>• Radiology (including interventional radiology)</w:t>
      </w:r>
    </w:p>
    <w:p w14:paraId="5003D3D4" w14:textId="77777777" w:rsidR="0079114E" w:rsidRPr="0063375A" w:rsidRDefault="0079114E" w:rsidP="0079114E">
      <w:pPr>
        <w:pStyle w:val="ListParagraph"/>
        <w:autoSpaceDE w:val="0"/>
        <w:autoSpaceDN w:val="0"/>
        <w:adjustRightInd w:val="0"/>
        <w:spacing w:line="360" w:lineRule="auto"/>
        <w:ind w:left="624"/>
        <w:rPr>
          <w:sz w:val="22"/>
          <w:szCs w:val="22"/>
        </w:rPr>
      </w:pPr>
      <w:r w:rsidRPr="0063375A">
        <w:rPr>
          <w:sz w:val="22"/>
          <w:szCs w:val="22"/>
        </w:rPr>
        <w:t>• Pharmacy</w:t>
      </w:r>
    </w:p>
    <w:p w14:paraId="3DE23991" w14:textId="77777777" w:rsidR="0079114E" w:rsidRPr="0063375A" w:rsidRDefault="0079114E" w:rsidP="0079114E">
      <w:pPr>
        <w:pStyle w:val="ListParagraph"/>
        <w:autoSpaceDE w:val="0"/>
        <w:autoSpaceDN w:val="0"/>
        <w:adjustRightInd w:val="0"/>
        <w:spacing w:line="360" w:lineRule="auto"/>
        <w:ind w:left="624"/>
        <w:rPr>
          <w:sz w:val="22"/>
          <w:szCs w:val="22"/>
        </w:rPr>
      </w:pPr>
      <w:r w:rsidRPr="0063375A">
        <w:rPr>
          <w:sz w:val="22"/>
          <w:szCs w:val="22"/>
        </w:rPr>
        <w:t>• Dietetics</w:t>
      </w:r>
    </w:p>
    <w:p w14:paraId="2AC74971" w14:textId="77777777" w:rsidR="0079114E" w:rsidRPr="0063375A" w:rsidRDefault="0079114E" w:rsidP="0079114E">
      <w:pPr>
        <w:pStyle w:val="ListParagraph"/>
        <w:spacing w:line="360" w:lineRule="auto"/>
        <w:ind w:left="624"/>
        <w:rPr>
          <w:sz w:val="22"/>
          <w:szCs w:val="22"/>
        </w:rPr>
      </w:pPr>
      <w:r w:rsidRPr="0063375A">
        <w:rPr>
          <w:sz w:val="22"/>
          <w:szCs w:val="22"/>
        </w:rPr>
        <w:t>• Allied Health Professionals (including physiotherapy”</w:t>
      </w:r>
    </w:p>
    <w:p w14:paraId="3A593EC1" w14:textId="77777777" w:rsidR="0079114E" w:rsidRPr="00316483" w:rsidRDefault="0079114E" w:rsidP="0079114E">
      <w:pPr>
        <w:pStyle w:val="ListParagraph"/>
        <w:spacing w:line="360" w:lineRule="auto"/>
        <w:ind w:left="624"/>
        <w:rPr>
          <w:sz w:val="22"/>
          <w:szCs w:val="22"/>
          <w:lang w:val="en-US"/>
        </w:rPr>
      </w:pPr>
      <w:r w:rsidRPr="0063375A">
        <w:rPr>
          <w:sz w:val="22"/>
          <w:szCs w:val="22"/>
        </w:rPr>
        <w:t>(NHS England:  Schedule 2: The Services. A: Specifications – Adult Kidney Transplant Service 16079/S)</w:t>
      </w:r>
    </w:p>
    <w:p w14:paraId="570656B6" w14:textId="77777777" w:rsidR="0079114E" w:rsidRDefault="0079114E" w:rsidP="0079114E">
      <w:pPr>
        <w:spacing w:line="360" w:lineRule="auto"/>
        <w:ind w:left="568"/>
        <w:rPr>
          <w:sz w:val="22"/>
          <w:szCs w:val="22"/>
        </w:rPr>
      </w:pPr>
    </w:p>
    <w:p w14:paraId="605217CB" w14:textId="77777777" w:rsidR="0096341E" w:rsidRPr="00316483" w:rsidRDefault="0096341E" w:rsidP="0096341E">
      <w:pPr>
        <w:pStyle w:val="ListParagraph"/>
        <w:numPr>
          <w:ilvl w:val="0"/>
          <w:numId w:val="20"/>
        </w:numPr>
        <w:spacing w:line="360" w:lineRule="auto"/>
        <w:rPr>
          <w:sz w:val="22"/>
          <w:szCs w:val="22"/>
        </w:rPr>
      </w:pPr>
      <w:r w:rsidRPr="00A70BED">
        <w:rPr>
          <w:sz w:val="22"/>
          <w:szCs w:val="22"/>
        </w:rPr>
        <w:t xml:space="preserve">There appears to be no explanation </w:t>
      </w:r>
      <w:r>
        <w:rPr>
          <w:sz w:val="22"/>
          <w:szCs w:val="22"/>
        </w:rPr>
        <w:t>as to</w:t>
      </w:r>
      <w:r w:rsidRPr="00A70BED">
        <w:rPr>
          <w:sz w:val="22"/>
          <w:szCs w:val="22"/>
        </w:rPr>
        <w:t xml:space="preserve"> what is involved in the ‘separate nephrology business case’, when this will </w:t>
      </w:r>
      <w:r>
        <w:rPr>
          <w:sz w:val="22"/>
          <w:szCs w:val="22"/>
        </w:rPr>
        <w:t>be presented</w:t>
      </w:r>
      <w:r w:rsidRPr="00A70BED">
        <w:rPr>
          <w:sz w:val="22"/>
          <w:szCs w:val="22"/>
        </w:rPr>
        <w:t xml:space="preserve"> or the source of </w:t>
      </w:r>
      <w:r w:rsidRPr="00316483">
        <w:rPr>
          <w:sz w:val="22"/>
          <w:szCs w:val="22"/>
        </w:rPr>
        <w:t xml:space="preserve">finance.  Is it part of UHL’s wider reconfiguration proposals that have been repeatedly delayed and will, according to the FBC, cost a further £336m with no promise thus far from the Government of funding?  It is reasonable to expect that there could be a considerable delay in re-siting nephrology at GH to be adjacent to RT. </w:t>
      </w:r>
    </w:p>
    <w:p w14:paraId="4867AB3A" w14:textId="77777777" w:rsidR="0096341E" w:rsidRPr="00316483" w:rsidRDefault="0096341E" w:rsidP="0096341E">
      <w:pPr>
        <w:spacing w:line="360" w:lineRule="auto"/>
        <w:rPr>
          <w:sz w:val="22"/>
          <w:szCs w:val="22"/>
        </w:rPr>
      </w:pPr>
    </w:p>
    <w:p w14:paraId="6A401079" w14:textId="77777777" w:rsidR="0063375A" w:rsidRPr="00A70BED" w:rsidRDefault="0063375A" w:rsidP="0063375A">
      <w:pPr>
        <w:pStyle w:val="ListParagraph"/>
        <w:numPr>
          <w:ilvl w:val="0"/>
          <w:numId w:val="20"/>
        </w:numPr>
        <w:spacing w:line="360" w:lineRule="auto"/>
        <w:rPr>
          <w:sz w:val="22"/>
          <w:szCs w:val="22"/>
        </w:rPr>
      </w:pPr>
      <w:r w:rsidRPr="00A70BED">
        <w:rPr>
          <w:sz w:val="22"/>
          <w:szCs w:val="22"/>
        </w:rPr>
        <w:t xml:space="preserve">Although the FBC states pharmacists have been consulted, the only mention of </w:t>
      </w:r>
      <w:r>
        <w:rPr>
          <w:sz w:val="22"/>
          <w:szCs w:val="22"/>
        </w:rPr>
        <w:t>their</w:t>
      </w:r>
      <w:r w:rsidRPr="00A70BED">
        <w:rPr>
          <w:sz w:val="22"/>
          <w:szCs w:val="22"/>
        </w:rPr>
        <w:t xml:space="preserve"> input in the detailed clinical case for RT is on page 65 and refers</w:t>
      </w:r>
      <w:r>
        <w:rPr>
          <w:sz w:val="22"/>
          <w:szCs w:val="22"/>
        </w:rPr>
        <w:t xml:space="preserve"> merely</w:t>
      </w:r>
      <w:r w:rsidRPr="00A70BED">
        <w:rPr>
          <w:sz w:val="22"/>
          <w:szCs w:val="22"/>
        </w:rPr>
        <w:t xml:space="preserve"> to their advice on siting drug cabinets.  The essential role of specialist pharmacists appears not to have been given due recognition.  This needs greater clarification.</w:t>
      </w:r>
    </w:p>
    <w:p w14:paraId="36C4D9BC" w14:textId="77777777" w:rsidR="0063375A" w:rsidRPr="00A70BED" w:rsidRDefault="0063375A" w:rsidP="0063375A">
      <w:pPr>
        <w:spacing w:line="360" w:lineRule="auto"/>
        <w:rPr>
          <w:sz w:val="22"/>
          <w:szCs w:val="22"/>
        </w:rPr>
      </w:pPr>
    </w:p>
    <w:p w14:paraId="1DD8DE1A" w14:textId="52EE17F9" w:rsidR="00781F75" w:rsidRPr="00A70BED" w:rsidRDefault="003E7564" w:rsidP="0079114E">
      <w:pPr>
        <w:pStyle w:val="ListParagraph"/>
        <w:numPr>
          <w:ilvl w:val="0"/>
          <w:numId w:val="20"/>
        </w:numPr>
        <w:spacing w:line="360" w:lineRule="auto"/>
        <w:rPr>
          <w:sz w:val="22"/>
          <w:szCs w:val="22"/>
        </w:rPr>
      </w:pPr>
      <w:r w:rsidRPr="00316483">
        <w:rPr>
          <w:sz w:val="22"/>
          <w:szCs w:val="22"/>
        </w:rPr>
        <w:t>T</w:t>
      </w:r>
      <w:r w:rsidR="002014E6" w:rsidRPr="00316483">
        <w:rPr>
          <w:sz w:val="22"/>
          <w:szCs w:val="22"/>
        </w:rPr>
        <w:t xml:space="preserve">he </w:t>
      </w:r>
      <w:r w:rsidRPr="00316483">
        <w:rPr>
          <w:sz w:val="22"/>
          <w:szCs w:val="22"/>
        </w:rPr>
        <w:t>FBC</w:t>
      </w:r>
      <w:r w:rsidRPr="00A70BED">
        <w:rPr>
          <w:sz w:val="22"/>
          <w:szCs w:val="22"/>
        </w:rPr>
        <w:t xml:space="preserve"> provides no </w:t>
      </w:r>
      <w:r w:rsidR="002014E6" w:rsidRPr="00A70BED">
        <w:rPr>
          <w:sz w:val="22"/>
          <w:szCs w:val="22"/>
        </w:rPr>
        <w:t>justification for reducing RT beds from 14 beds</w:t>
      </w:r>
      <w:r w:rsidR="00E549BD" w:rsidRPr="00A70BED">
        <w:rPr>
          <w:sz w:val="22"/>
          <w:szCs w:val="22"/>
        </w:rPr>
        <w:t xml:space="preserve"> at LGH</w:t>
      </w:r>
      <w:r w:rsidR="002014E6" w:rsidRPr="00A70BED">
        <w:rPr>
          <w:sz w:val="22"/>
          <w:szCs w:val="22"/>
        </w:rPr>
        <w:t xml:space="preserve"> to 12</w:t>
      </w:r>
      <w:r w:rsidR="00E549BD" w:rsidRPr="00A70BED">
        <w:rPr>
          <w:sz w:val="22"/>
          <w:szCs w:val="22"/>
        </w:rPr>
        <w:t xml:space="preserve"> beds at GH</w:t>
      </w:r>
      <w:r w:rsidRPr="00A70BED">
        <w:rPr>
          <w:sz w:val="22"/>
          <w:szCs w:val="22"/>
        </w:rPr>
        <w:t>.</w:t>
      </w:r>
    </w:p>
    <w:p w14:paraId="23CD3FF9" w14:textId="60FD084A" w:rsidR="00E11F6D" w:rsidRPr="00A70BED" w:rsidRDefault="00E11F6D" w:rsidP="00507361">
      <w:pPr>
        <w:spacing w:line="360" w:lineRule="auto"/>
        <w:rPr>
          <w:sz w:val="22"/>
          <w:szCs w:val="22"/>
        </w:rPr>
      </w:pPr>
    </w:p>
    <w:p w14:paraId="141BF399" w14:textId="77777777" w:rsidR="00106D39" w:rsidRPr="00A70BED" w:rsidRDefault="00106D39" w:rsidP="00507361">
      <w:pPr>
        <w:pStyle w:val="ListParagraph"/>
        <w:numPr>
          <w:ilvl w:val="0"/>
          <w:numId w:val="20"/>
        </w:numPr>
        <w:spacing w:line="360" w:lineRule="auto"/>
        <w:rPr>
          <w:sz w:val="22"/>
          <w:szCs w:val="22"/>
        </w:rPr>
      </w:pPr>
      <w:r w:rsidRPr="00A70BED">
        <w:rPr>
          <w:sz w:val="22"/>
          <w:szCs w:val="22"/>
        </w:rPr>
        <w:t xml:space="preserve">P69 states, ‘this new transplant solution provides </w:t>
      </w:r>
      <w:r w:rsidR="00B07598" w:rsidRPr="00A70BED">
        <w:rPr>
          <w:sz w:val="22"/>
          <w:szCs w:val="22"/>
        </w:rPr>
        <w:t xml:space="preserve">enhanced clinical adjacencies’ </w:t>
      </w:r>
      <w:r w:rsidRPr="00A70BED">
        <w:rPr>
          <w:sz w:val="22"/>
          <w:szCs w:val="22"/>
        </w:rPr>
        <w:t>but fails to say what these are</w:t>
      </w:r>
      <w:r w:rsidR="00B07598" w:rsidRPr="00A70BED">
        <w:rPr>
          <w:sz w:val="22"/>
          <w:szCs w:val="22"/>
        </w:rPr>
        <w:t>.</w:t>
      </w:r>
    </w:p>
    <w:p w14:paraId="4B13CADC" w14:textId="77777777" w:rsidR="00D94D9C" w:rsidRPr="00A70BED" w:rsidRDefault="00D94D9C" w:rsidP="00507361">
      <w:pPr>
        <w:spacing w:line="360" w:lineRule="auto"/>
        <w:rPr>
          <w:sz w:val="22"/>
          <w:szCs w:val="22"/>
        </w:rPr>
      </w:pPr>
    </w:p>
    <w:p w14:paraId="374B6930" w14:textId="3427D0B3" w:rsidR="00FA1BD2" w:rsidRPr="00A70BED" w:rsidRDefault="000D178D" w:rsidP="00507361">
      <w:pPr>
        <w:spacing w:line="360" w:lineRule="auto"/>
        <w:rPr>
          <w:sz w:val="22"/>
          <w:szCs w:val="22"/>
        </w:rPr>
      </w:pPr>
      <w:r w:rsidRPr="00A70BED">
        <w:rPr>
          <w:sz w:val="22"/>
          <w:szCs w:val="22"/>
        </w:rPr>
        <w:t xml:space="preserve">There are also concerns about the plans to move HPB in-patient services to GH and </w:t>
      </w:r>
      <w:r w:rsidR="00F75240" w:rsidRPr="00A70BED">
        <w:rPr>
          <w:sz w:val="22"/>
          <w:szCs w:val="22"/>
        </w:rPr>
        <w:t xml:space="preserve">also </w:t>
      </w:r>
      <w:r w:rsidRPr="00A70BED">
        <w:rPr>
          <w:sz w:val="22"/>
          <w:szCs w:val="22"/>
        </w:rPr>
        <w:t xml:space="preserve">implications for some urology patients.  </w:t>
      </w:r>
      <w:r w:rsidR="00A4313B" w:rsidRPr="00A70BED">
        <w:rPr>
          <w:sz w:val="22"/>
          <w:szCs w:val="22"/>
        </w:rPr>
        <w:t xml:space="preserve">Currently HPB services are provided at LGH </w:t>
      </w:r>
      <w:r w:rsidR="00BA2319" w:rsidRPr="00A70BED">
        <w:rPr>
          <w:sz w:val="22"/>
          <w:szCs w:val="22"/>
        </w:rPr>
        <w:t>where the</w:t>
      </w:r>
      <w:r w:rsidR="00A4313B" w:rsidRPr="00A70BED">
        <w:rPr>
          <w:sz w:val="22"/>
          <w:szCs w:val="22"/>
        </w:rPr>
        <w:t xml:space="preserve"> current </w:t>
      </w:r>
      <w:r w:rsidR="00F75240" w:rsidRPr="00A70BED">
        <w:rPr>
          <w:sz w:val="22"/>
          <w:szCs w:val="22"/>
        </w:rPr>
        <w:t>bed usage</w:t>
      </w:r>
      <w:r w:rsidR="007E1E77" w:rsidRPr="00A70BED">
        <w:rPr>
          <w:sz w:val="22"/>
          <w:szCs w:val="22"/>
        </w:rPr>
        <w:t xml:space="preserve"> is </w:t>
      </w:r>
      <w:r w:rsidR="002B4FD3">
        <w:rPr>
          <w:sz w:val="22"/>
          <w:szCs w:val="22"/>
        </w:rPr>
        <w:t xml:space="preserve">stated as </w:t>
      </w:r>
      <w:r w:rsidR="007E1E77" w:rsidRPr="00A70BED">
        <w:rPr>
          <w:sz w:val="22"/>
          <w:szCs w:val="22"/>
        </w:rPr>
        <w:t>an average</w:t>
      </w:r>
      <w:r w:rsidR="00BA2319" w:rsidRPr="00A70BED">
        <w:rPr>
          <w:sz w:val="22"/>
          <w:szCs w:val="22"/>
        </w:rPr>
        <w:t xml:space="preserve"> </w:t>
      </w:r>
      <w:r w:rsidR="00A4313B" w:rsidRPr="00A70BED">
        <w:rPr>
          <w:sz w:val="22"/>
          <w:szCs w:val="22"/>
        </w:rPr>
        <w:t xml:space="preserve">of 9 elective beds and 36 emergency beds </w:t>
      </w:r>
      <w:r w:rsidR="001D03D4" w:rsidRPr="00A70BED">
        <w:rPr>
          <w:sz w:val="22"/>
          <w:szCs w:val="22"/>
        </w:rPr>
        <w:t>shared between general surgery and urology on</w:t>
      </w:r>
      <w:r w:rsidR="00A4313B" w:rsidRPr="00A70BED">
        <w:rPr>
          <w:sz w:val="22"/>
          <w:szCs w:val="22"/>
        </w:rPr>
        <w:t xml:space="preserve"> out-</w:t>
      </w:r>
      <w:r w:rsidR="006A2185" w:rsidRPr="00A70BED">
        <w:rPr>
          <w:sz w:val="22"/>
          <w:szCs w:val="22"/>
        </w:rPr>
        <w:t>dated Nightingale wards or in 6-</w:t>
      </w:r>
      <w:r w:rsidR="00A4313B" w:rsidRPr="00A70BED">
        <w:rPr>
          <w:sz w:val="22"/>
          <w:szCs w:val="22"/>
        </w:rPr>
        <w:t>bedded bays.  The FBC proposal is to move HPB inpatient services to GH whilst</w:t>
      </w:r>
      <w:r w:rsidR="001D03D4" w:rsidRPr="00A70BED">
        <w:rPr>
          <w:sz w:val="22"/>
          <w:szCs w:val="22"/>
        </w:rPr>
        <w:t xml:space="preserve"> HPB</w:t>
      </w:r>
      <w:r w:rsidR="00A4313B" w:rsidRPr="00A70BED">
        <w:rPr>
          <w:sz w:val="22"/>
          <w:szCs w:val="22"/>
        </w:rPr>
        <w:t xml:space="preserve"> outpatient and </w:t>
      </w:r>
      <w:r w:rsidR="00380D51" w:rsidRPr="00A70BED">
        <w:rPr>
          <w:sz w:val="22"/>
          <w:szCs w:val="22"/>
        </w:rPr>
        <w:t xml:space="preserve">day case services remain at </w:t>
      </w:r>
      <w:r w:rsidR="00380D51" w:rsidRPr="001A29C4">
        <w:rPr>
          <w:sz w:val="22"/>
          <w:szCs w:val="22"/>
        </w:rPr>
        <w:t>LGH</w:t>
      </w:r>
      <w:r w:rsidR="005E3FB5" w:rsidRPr="001A29C4">
        <w:rPr>
          <w:sz w:val="22"/>
          <w:szCs w:val="22"/>
        </w:rPr>
        <w:t xml:space="preserve">. </w:t>
      </w:r>
      <w:r w:rsidR="00380D51" w:rsidRPr="001A29C4">
        <w:rPr>
          <w:sz w:val="22"/>
          <w:szCs w:val="22"/>
        </w:rPr>
        <w:t xml:space="preserve"> </w:t>
      </w:r>
      <w:r w:rsidR="005E3FB5" w:rsidRPr="001A29C4">
        <w:rPr>
          <w:sz w:val="22"/>
          <w:szCs w:val="22"/>
        </w:rPr>
        <w:t>T</w:t>
      </w:r>
      <w:r w:rsidR="00A4313B" w:rsidRPr="001A29C4">
        <w:rPr>
          <w:sz w:val="22"/>
          <w:szCs w:val="22"/>
        </w:rPr>
        <w:t>he FBC goes on to state on p166 that there will be two wards at GH</w:t>
      </w:r>
      <w:r w:rsidR="00FA1BD2" w:rsidRPr="001A29C4">
        <w:rPr>
          <w:sz w:val="22"/>
          <w:szCs w:val="22"/>
        </w:rPr>
        <w:t xml:space="preserve"> for HPB.  One ward will have 28 elective surgery beds and the other will have 24 emergency beds with an incorporated triage/admissions area - a total of </w:t>
      </w:r>
      <w:r w:rsidR="00BA2319" w:rsidRPr="001A29C4">
        <w:rPr>
          <w:sz w:val="22"/>
          <w:szCs w:val="22"/>
        </w:rPr>
        <w:t>52</w:t>
      </w:r>
      <w:r w:rsidR="00FA1BD2" w:rsidRPr="001A29C4">
        <w:rPr>
          <w:sz w:val="22"/>
          <w:szCs w:val="22"/>
        </w:rPr>
        <w:t xml:space="preserve"> beds</w:t>
      </w:r>
      <w:r w:rsidR="004B2EC4" w:rsidRPr="001A29C4">
        <w:rPr>
          <w:sz w:val="22"/>
          <w:szCs w:val="22"/>
        </w:rPr>
        <w:t>. However, the FBC states a need for 55 beds. According to the proposals, only by sacrificing the triage area can 56 beds be achieved.</w:t>
      </w:r>
      <w:r w:rsidR="00FA1BD2" w:rsidRPr="001A29C4">
        <w:rPr>
          <w:sz w:val="22"/>
          <w:szCs w:val="22"/>
        </w:rPr>
        <w:t xml:space="preserve"> </w:t>
      </w:r>
      <w:r w:rsidR="00430F9B" w:rsidRPr="001A29C4">
        <w:rPr>
          <w:sz w:val="22"/>
          <w:szCs w:val="22"/>
        </w:rPr>
        <w:t xml:space="preserve"> </w:t>
      </w:r>
      <w:r w:rsidR="00FA1BD2" w:rsidRPr="001A29C4">
        <w:rPr>
          <w:sz w:val="22"/>
          <w:szCs w:val="22"/>
        </w:rPr>
        <w:t>Both of these wards will share one interview room.</w:t>
      </w:r>
    </w:p>
    <w:p w14:paraId="08CD1208" w14:textId="77777777" w:rsidR="00C12AC5" w:rsidRPr="00A70BED" w:rsidRDefault="00C12AC5" w:rsidP="00507361">
      <w:pPr>
        <w:spacing w:line="360" w:lineRule="auto"/>
        <w:rPr>
          <w:sz w:val="22"/>
          <w:szCs w:val="22"/>
        </w:rPr>
      </w:pPr>
    </w:p>
    <w:p w14:paraId="54DF11F4" w14:textId="767E2C01" w:rsidR="00FA1BD2" w:rsidRPr="00A70BED" w:rsidRDefault="00FA1BD2" w:rsidP="00507361">
      <w:pPr>
        <w:spacing w:line="360" w:lineRule="auto"/>
        <w:rPr>
          <w:sz w:val="22"/>
          <w:szCs w:val="22"/>
        </w:rPr>
      </w:pPr>
      <w:r w:rsidRPr="00A70BED">
        <w:rPr>
          <w:sz w:val="22"/>
          <w:szCs w:val="22"/>
        </w:rPr>
        <w:t>Although urology wards will remain at LGH</w:t>
      </w:r>
      <w:r w:rsidR="00367563" w:rsidRPr="00A70BED">
        <w:rPr>
          <w:sz w:val="22"/>
          <w:szCs w:val="22"/>
        </w:rPr>
        <w:t>,</w:t>
      </w:r>
      <w:r w:rsidRPr="00A70BED">
        <w:rPr>
          <w:sz w:val="22"/>
          <w:szCs w:val="22"/>
        </w:rPr>
        <w:t xml:space="preserve"> the l</w:t>
      </w:r>
      <w:r w:rsidR="00430F9B" w:rsidRPr="00A70BED">
        <w:rPr>
          <w:sz w:val="22"/>
          <w:szCs w:val="22"/>
        </w:rPr>
        <w:t>oss</w:t>
      </w:r>
      <w:r w:rsidRPr="00A70BED">
        <w:rPr>
          <w:sz w:val="22"/>
          <w:szCs w:val="22"/>
        </w:rPr>
        <w:t xml:space="preserve"> of level 3 ICU beds </w:t>
      </w:r>
      <w:r w:rsidR="00430F9B" w:rsidRPr="00A70BED">
        <w:rPr>
          <w:sz w:val="22"/>
          <w:szCs w:val="22"/>
        </w:rPr>
        <w:t xml:space="preserve">there </w:t>
      </w:r>
      <w:r w:rsidRPr="00A70BED">
        <w:rPr>
          <w:sz w:val="22"/>
          <w:szCs w:val="22"/>
        </w:rPr>
        <w:t>mean</w:t>
      </w:r>
      <w:r w:rsidR="00367563" w:rsidRPr="00A70BED">
        <w:rPr>
          <w:sz w:val="22"/>
          <w:szCs w:val="22"/>
        </w:rPr>
        <w:t>s</w:t>
      </w:r>
      <w:r w:rsidRPr="00A70BED">
        <w:rPr>
          <w:sz w:val="22"/>
          <w:szCs w:val="22"/>
        </w:rPr>
        <w:t xml:space="preserve"> that </w:t>
      </w:r>
      <w:r w:rsidR="00084D8E" w:rsidRPr="00A70BED">
        <w:rPr>
          <w:sz w:val="22"/>
          <w:szCs w:val="22"/>
        </w:rPr>
        <w:t xml:space="preserve">urology </w:t>
      </w:r>
      <w:r w:rsidRPr="00A70BED">
        <w:rPr>
          <w:sz w:val="22"/>
          <w:szCs w:val="22"/>
        </w:rPr>
        <w:t>patients preoperatively identified as needing post-operative level 3 care will be</w:t>
      </w:r>
      <w:r w:rsidR="00084D8E" w:rsidRPr="00A70BED">
        <w:rPr>
          <w:sz w:val="22"/>
          <w:szCs w:val="22"/>
        </w:rPr>
        <w:t xml:space="preserve"> admitted to GH. </w:t>
      </w:r>
      <w:r w:rsidR="00885888" w:rsidRPr="00A70BED">
        <w:rPr>
          <w:sz w:val="22"/>
          <w:szCs w:val="22"/>
        </w:rPr>
        <w:t xml:space="preserve"> </w:t>
      </w:r>
      <w:r w:rsidR="00084D8E" w:rsidRPr="00A70BED">
        <w:rPr>
          <w:sz w:val="22"/>
          <w:szCs w:val="22"/>
        </w:rPr>
        <w:t>Once no longer dependent on intensive care they will be</w:t>
      </w:r>
      <w:r w:rsidRPr="00A70BED">
        <w:rPr>
          <w:sz w:val="22"/>
          <w:szCs w:val="22"/>
        </w:rPr>
        <w:t xml:space="preserve"> transferred to the HPB wards</w:t>
      </w:r>
      <w:r w:rsidR="00095FF4">
        <w:rPr>
          <w:sz w:val="22"/>
          <w:szCs w:val="22"/>
        </w:rPr>
        <w:t xml:space="preserve"> at the Glenfield Hospital.</w:t>
      </w:r>
      <w:r w:rsidR="000D178D" w:rsidRPr="00A70BED">
        <w:rPr>
          <w:sz w:val="22"/>
          <w:szCs w:val="22"/>
        </w:rPr>
        <w:t xml:space="preserve"> </w:t>
      </w:r>
      <w:r w:rsidRPr="00A70BED">
        <w:rPr>
          <w:sz w:val="22"/>
          <w:szCs w:val="22"/>
        </w:rPr>
        <w:t xml:space="preserve"> Similarly, urology patients unexpectedly requiring level 3 ICU care will be ‘retrieved’ from LGH to GH and then recover on the HPB wards</w:t>
      </w:r>
      <w:r w:rsidR="00BA6C82">
        <w:rPr>
          <w:sz w:val="22"/>
          <w:szCs w:val="22"/>
        </w:rPr>
        <w:t xml:space="preserve"> at</w:t>
      </w:r>
      <w:r w:rsidR="00095FF4">
        <w:rPr>
          <w:sz w:val="22"/>
          <w:szCs w:val="22"/>
        </w:rPr>
        <w:t xml:space="preserve"> the Glenfield Hospital</w:t>
      </w:r>
      <w:r w:rsidR="00A7383B" w:rsidRPr="00A70BED">
        <w:rPr>
          <w:sz w:val="22"/>
          <w:szCs w:val="22"/>
        </w:rPr>
        <w:t xml:space="preserve">.  </w:t>
      </w:r>
      <w:r w:rsidR="00D90FE0" w:rsidRPr="00A70BED">
        <w:rPr>
          <w:sz w:val="22"/>
          <w:szCs w:val="22"/>
        </w:rPr>
        <w:t>2016/17 figures given in the FBC suggest the number of urology patients r</w:t>
      </w:r>
      <w:r w:rsidR="00430F9B" w:rsidRPr="00A70BED">
        <w:rPr>
          <w:sz w:val="22"/>
          <w:szCs w:val="22"/>
        </w:rPr>
        <w:t xml:space="preserve">equiring ICU level 3 is </w:t>
      </w:r>
      <w:r w:rsidR="00885888" w:rsidRPr="00A70BED">
        <w:rPr>
          <w:sz w:val="22"/>
          <w:szCs w:val="22"/>
        </w:rPr>
        <w:t>in the region of</w:t>
      </w:r>
      <w:r w:rsidR="00430F9B" w:rsidRPr="00A70BED">
        <w:rPr>
          <w:sz w:val="22"/>
          <w:szCs w:val="22"/>
        </w:rPr>
        <w:t xml:space="preserve"> 16 per annum.</w:t>
      </w:r>
    </w:p>
    <w:p w14:paraId="310541C2" w14:textId="77777777" w:rsidR="00D90FE0" w:rsidRPr="00A70BED" w:rsidRDefault="00D90FE0" w:rsidP="00507361">
      <w:pPr>
        <w:spacing w:line="360" w:lineRule="auto"/>
        <w:rPr>
          <w:sz w:val="22"/>
          <w:szCs w:val="22"/>
        </w:rPr>
      </w:pPr>
    </w:p>
    <w:p w14:paraId="0EC0C261" w14:textId="355CAD69" w:rsidR="00D90FE0" w:rsidRPr="00A70BED" w:rsidRDefault="00367563" w:rsidP="00507361">
      <w:pPr>
        <w:spacing w:line="360" w:lineRule="auto"/>
        <w:rPr>
          <w:sz w:val="22"/>
          <w:szCs w:val="22"/>
        </w:rPr>
      </w:pPr>
      <w:r w:rsidRPr="00A70BED">
        <w:rPr>
          <w:sz w:val="22"/>
          <w:szCs w:val="22"/>
        </w:rPr>
        <w:t>The long-</w:t>
      </w:r>
      <w:r w:rsidR="00D90FE0" w:rsidRPr="00A70BED">
        <w:rPr>
          <w:sz w:val="22"/>
          <w:szCs w:val="22"/>
        </w:rPr>
        <w:t>term plan is to move HPB from the new-build ward to elsewhere within GH</w:t>
      </w:r>
      <w:r w:rsidR="00D90FE0" w:rsidRPr="00A70BED">
        <w:rPr>
          <w:rStyle w:val="FootnoteReference"/>
          <w:sz w:val="22"/>
          <w:szCs w:val="22"/>
        </w:rPr>
        <w:footnoteReference w:id="12"/>
      </w:r>
      <w:r w:rsidR="00D90FE0" w:rsidRPr="00A70BED">
        <w:rPr>
          <w:sz w:val="22"/>
          <w:szCs w:val="22"/>
        </w:rPr>
        <w:t>.  Then, as a separate business case, nephrology wards, remaining in the interim at LGH will move to the newly vacated HPB wards at GH.</w:t>
      </w:r>
      <w:r w:rsidR="00192FBD" w:rsidRPr="00A70BED">
        <w:rPr>
          <w:sz w:val="22"/>
          <w:szCs w:val="22"/>
        </w:rPr>
        <w:t xml:space="preserve">  Due to this planned move, during construction there will be plumbing installed for dialysis in the new HPB ward.</w:t>
      </w:r>
    </w:p>
    <w:p w14:paraId="13406689" w14:textId="77777777" w:rsidR="00192FBD" w:rsidRPr="00A70BED" w:rsidRDefault="00192FBD" w:rsidP="00507361">
      <w:pPr>
        <w:spacing w:line="360" w:lineRule="auto"/>
        <w:rPr>
          <w:sz w:val="22"/>
          <w:szCs w:val="22"/>
        </w:rPr>
      </w:pPr>
    </w:p>
    <w:p w14:paraId="7D08390B" w14:textId="654894F0" w:rsidR="00662DE9" w:rsidRPr="00A70BED" w:rsidRDefault="00412066" w:rsidP="00507361">
      <w:pPr>
        <w:spacing w:line="360" w:lineRule="auto"/>
        <w:rPr>
          <w:sz w:val="22"/>
          <w:szCs w:val="22"/>
        </w:rPr>
      </w:pPr>
      <w:r w:rsidRPr="00A70BED">
        <w:rPr>
          <w:sz w:val="22"/>
          <w:szCs w:val="22"/>
        </w:rPr>
        <w:t xml:space="preserve">We </w:t>
      </w:r>
      <w:r w:rsidR="00192FBD" w:rsidRPr="00A70BED">
        <w:rPr>
          <w:sz w:val="22"/>
          <w:szCs w:val="22"/>
        </w:rPr>
        <w:t xml:space="preserve">have identified areas </w:t>
      </w:r>
      <w:r w:rsidR="003453B0" w:rsidRPr="00A70BED">
        <w:rPr>
          <w:sz w:val="22"/>
          <w:szCs w:val="22"/>
        </w:rPr>
        <w:t>of</w:t>
      </w:r>
      <w:r w:rsidR="00192FBD" w:rsidRPr="00A70BED">
        <w:rPr>
          <w:sz w:val="22"/>
          <w:szCs w:val="22"/>
        </w:rPr>
        <w:t xml:space="preserve"> concern</w:t>
      </w:r>
      <w:r w:rsidRPr="00A70BED">
        <w:rPr>
          <w:sz w:val="22"/>
          <w:szCs w:val="22"/>
        </w:rPr>
        <w:t xml:space="preserve"> with </w:t>
      </w:r>
      <w:r w:rsidR="003453B0" w:rsidRPr="00A70BED">
        <w:rPr>
          <w:sz w:val="22"/>
          <w:szCs w:val="22"/>
        </w:rPr>
        <w:t xml:space="preserve">regard to </w:t>
      </w:r>
      <w:r w:rsidRPr="00A70BED">
        <w:rPr>
          <w:sz w:val="22"/>
          <w:szCs w:val="22"/>
        </w:rPr>
        <w:t xml:space="preserve">the relocation of HPB </w:t>
      </w:r>
      <w:r w:rsidR="00192FBD" w:rsidRPr="00A70BED">
        <w:rPr>
          <w:sz w:val="22"/>
          <w:szCs w:val="22"/>
        </w:rPr>
        <w:t>as listed below:</w:t>
      </w:r>
    </w:p>
    <w:p w14:paraId="3F816889" w14:textId="77777777" w:rsidR="00662DE9" w:rsidRPr="00A70BED" w:rsidRDefault="00662DE9" w:rsidP="00507361">
      <w:pPr>
        <w:spacing w:line="360" w:lineRule="auto"/>
        <w:rPr>
          <w:sz w:val="22"/>
          <w:szCs w:val="22"/>
        </w:rPr>
      </w:pPr>
    </w:p>
    <w:p w14:paraId="0BCA206E" w14:textId="616B1F6B" w:rsidR="00501AB6" w:rsidRDefault="003E7564" w:rsidP="00507361">
      <w:pPr>
        <w:pStyle w:val="ListParagraph"/>
        <w:numPr>
          <w:ilvl w:val="0"/>
          <w:numId w:val="22"/>
        </w:numPr>
        <w:spacing w:line="360" w:lineRule="auto"/>
        <w:rPr>
          <w:sz w:val="22"/>
          <w:szCs w:val="22"/>
        </w:rPr>
      </w:pPr>
      <w:r w:rsidRPr="00A70BED">
        <w:rPr>
          <w:sz w:val="22"/>
          <w:szCs w:val="22"/>
        </w:rPr>
        <w:t xml:space="preserve">Under the proposals set out in the FBC, </w:t>
      </w:r>
      <w:r w:rsidR="00192FBD" w:rsidRPr="00A70BED">
        <w:rPr>
          <w:sz w:val="22"/>
          <w:szCs w:val="22"/>
        </w:rPr>
        <w:t xml:space="preserve">HPB </w:t>
      </w:r>
      <w:r w:rsidR="00095FF4">
        <w:rPr>
          <w:sz w:val="22"/>
          <w:szCs w:val="22"/>
        </w:rPr>
        <w:t xml:space="preserve">patients </w:t>
      </w:r>
      <w:r w:rsidRPr="00A70BED">
        <w:rPr>
          <w:sz w:val="22"/>
          <w:szCs w:val="22"/>
        </w:rPr>
        <w:t xml:space="preserve">will be </w:t>
      </w:r>
      <w:r w:rsidR="00095FF4">
        <w:rPr>
          <w:sz w:val="22"/>
          <w:szCs w:val="22"/>
        </w:rPr>
        <w:t xml:space="preserve">split </w:t>
      </w:r>
      <w:r w:rsidR="00192FBD" w:rsidRPr="00A70BED">
        <w:rPr>
          <w:sz w:val="22"/>
          <w:szCs w:val="22"/>
        </w:rPr>
        <w:t xml:space="preserve">across two </w:t>
      </w:r>
      <w:r w:rsidRPr="00A70BED">
        <w:rPr>
          <w:sz w:val="22"/>
          <w:szCs w:val="22"/>
        </w:rPr>
        <w:t xml:space="preserve">different </w:t>
      </w:r>
      <w:r w:rsidR="00192FBD" w:rsidRPr="00A70BED">
        <w:rPr>
          <w:sz w:val="22"/>
          <w:szCs w:val="22"/>
        </w:rPr>
        <w:t>sites</w:t>
      </w:r>
      <w:r w:rsidR="00095FF4">
        <w:rPr>
          <w:sz w:val="22"/>
          <w:szCs w:val="22"/>
        </w:rPr>
        <w:t>, with HPB inpatients at the Glenfield Hospital and HPB outpatients and day cases remaining at the Leicester General Hospital</w:t>
      </w:r>
      <w:r w:rsidRPr="00A70BED">
        <w:rPr>
          <w:sz w:val="22"/>
          <w:szCs w:val="22"/>
        </w:rPr>
        <w:t>.  This</w:t>
      </w:r>
      <w:r w:rsidR="00192FBD" w:rsidRPr="00A70BED">
        <w:rPr>
          <w:sz w:val="22"/>
          <w:szCs w:val="22"/>
        </w:rPr>
        <w:t xml:space="preserve"> will </w:t>
      </w:r>
      <w:r w:rsidR="00662DE9" w:rsidRPr="00A70BED">
        <w:rPr>
          <w:sz w:val="22"/>
          <w:szCs w:val="22"/>
        </w:rPr>
        <w:t xml:space="preserve">result in loss of continuity for patients who are being seen and assessed in </w:t>
      </w:r>
      <w:r w:rsidR="00662DE9" w:rsidRPr="00A70BED">
        <w:rPr>
          <w:sz w:val="22"/>
          <w:szCs w:val="22"/>
        </w:rPr>
        <w:lastRenderedPageBreak/>
        <w:t xml:space="preserve">one hospital but having their operations in another. </w:t>
      </w:r>
      <w:r w:rsidR="00192FBD" w:rsidRPr="00A70BED">
        <w:rPr>
          <w:sz w:val="22"/>
          <w:szCs w:val="22"/>
        </w:rPr>
        <w:t xml:space="preserve"> M</w:t>
      </w:r>
      <w:r w:rsidR="00662DE9" w:rsidRPr="00A70BED">
        <w:rPr>
          <w:sz w:val="22"/>
          <w:szCs w:val="22"/>
        </w:rPr>
        <w:t>edical staff, almost definitely, and</w:t>
      </w:r>
      <w:r w:rsidR="00F2709C" w:rsidRPr="00A70BED">
        <w:rPr>
          <w:sz w:val="22"/>
          <w:szCs w:val="22"/>
        </w:rPr>
        <w:t>,</w:t>
      </w:r>
      <w:r w:rsidR="00525F3C" w:rsidRPr="00A70BED">
        <w:rPr>
          <w:sz w:val="22"/>
          <w:szCs w:val="22"/>
        </w:rPr>
        <w:t xml:space="preserve"> </w:t>
      </w:r>
      <w:r w:rsidR="00F2709C" w:rsidRPr="00A70BED">
        <w:rPr>
          <w:sz w:val="22"/>
          <w:szCs w:val="22"/>
        </w:rPr>
        <w:t>probably, professionals associated with medicine</w:t>
      </w:r>
      <w:r w:rsidR="00D81181">
        <w:rPr>
          <w:sz w:val="22"/>
          <w:szCs w:val="22"/>
        </w:rPr>
        <w:t xml:space="preserve"> and</w:t>
      </w:r>
      <w:r w:rsidR="00192FBD" w:rsidRPr="00A70BED">
        <w:rPr>
          <w:sz w:val="22"/>
          <w:szCs w:val="22"/>
        </w:rPr>
        <w:t xml:space="preserve"> </w:t>
      </w:r>
      <w:r w:rsidR="00D81181" w:rsidRPr="00A70BED">
        <w:rPr>
          <w:sz w:val="22"/>
          <w:szCs w:val="22"/>
        </w:rPr>
        <w:t xml:space="preserve">the nursing </w:t>
      </w:r>
      <w:r w:rsidR="00525F3C" w:rsidRPr="00A70BED">
        <w:rPr>
          <w:sz w:val="22"/>
          <w:szCs w:val="22"/>
        </w:rPr>
        <w:t>workforce</w:t>
      </w:r>
      <w:r w:rsidR="001D03D4" w:rsidRPr="00A70BED">
        <w:rPr>
          <w:sz w:val="22"/>
          <w:szCs w:val="22"/>
        </w:rPr>
        <w:t xml:space="preserve"> </w:t>
      </w:r>
      <w:r w:rsidR="00662DE9" w:rsidRPr="00A70BED">
        <w:rPr>
          <w:sz w:val="22"/>
          <w:szCs w:val="22"/>
        </w:rPr>
        <w:t xml:space="preserve">will be required to work across two sites.  Medical notes will also need transferring across sites </w:t>
      </w:r>
      <w:r w:rsidR="00525F3C" w:rsidRPr="00A70BED">
        <w:rPr>
          <w:sz w:val="22"/>
          <w:szCs w:val="22"/>
        </w:rPr>
        <w:t>(</w:t>
      </w:r>
      <w:r w:rsidR="00662DE9" w:rsidRPr="00A70BED">
        <w:rPr>
          <w:sz w:val="22"/>
          <w:szCs w:val="22"/>
        </w:rPr>
        <w:t>until UHL becomes completely paperless</w:t>
      </w:r>
      <w:r w:rsidR="00525F3C" w:rsidRPr="00A70BED">
        <w:rPr>
          <w:sz w:val="22"/>
          <w:szCs w:val="22"/>
        </w:rPr>
        <w:t>)</w:t>
      </w:r>
      <w:r w:rsidR="00501AB6" w:rsidRPr="00A70BED">
        <w:rPr>
          <w:sz w:val="22"/>
          <w:szCs w:val="22"/>
        </w:rPr>
        <w:t xml:space="preserve"> and </w:t>
      </w:r>
      <w:r w:rsidR="00525F3C" w:rsidRPr="00A70BED">
        <w:rPr>
          <w:sz w:val="22"/>
          <w:szCs w:val="22"/>
        </w:rPr>
        <w:t>thus might be in</w:t>
      </w:r>
      <w:r w:rsidR="00501AB6" w:rsidRPr="00A70BED">
        <w:rPr>
          <w:sz w:val="22"/>
          <w:szCs w:val="22"/>
        </w:rPr>
        <w:t xml:space="preserve"> the wrong place at the wrong time causing delays in treatment and frustrations for patients</w:t>
      </w:r>
      <w:r w:rsidR="00662DE9" w:rsidRPr="00A70BED">
        <w:rPr>
          <w:sz w:val="22"/>
          <w:szCs w:val="22"/>
        </w:rPr>
        <w:t>.</w:t>
      </w:r>
    </w:p>
    <w:p w14:paraId="23CBD7BA" w14:textId="77777777" w:rsidR="0079114E" w:rsidRPr="004B2EC4" w:rsidRDefault="0079114E" w:rsidP="0079114E">
      <w:pPr>
        <w:pStyle w:val="ListParagraph"/>
        <w:spacing w:line="360" w:lineRule="auto"/>
        <w:ind w:left="624"/>
        <w:rPr>
          <w:sz w:val="22"/>
          <w:szCs w:val="22"/>
        </w:rPr>
      </w:pPr>
    </w:p>
    <w:p w14:paraId="5D634A2B" w14:textId="4509F5D5" w:rsidR="00F946AA" w:rsidRDefault="00525F3C" w:rsidP="00507361">
      <w:pPr>
        <w:pStyle w:val="ListParagraph"/>
        <w:numPr>
          <w:ilvl w:val="0"/>
          <w:numId w:val="22"/>
        </w:numPr>
        <w:spacing w:line="360" w:lineRule="auto"/>
        <w:rPr>
          <w:sz w:val="22"/>
          <w:szCs w:val="22"/>
        </w:rPr>
      </w:pPr>
      <w:r w:rsidRPr="00A70BED">
        <w:rPr>
          <w:sz w:val="22"/>
          <w:szCs w:val="22"/>
        </w:rPr>
        <w:t xml:space="preserve">The ‘outlying’ of some urology patients in the HPB ward at GH poses risks of loss of continuity </w:t>
      </w:r>
      <w:r w:rsidR="00430F9B" w:rsidRPr="00A70BED">
        <w:rPr>
          <w:sz w:val="22"/>
          <w:szCs w:val="22"/>
        </w:rPr>
        <w:t xml:space="preserve">of care and </w:t>
      </w:r>
      <w:r w:rsidRPr="00A70BED">
        <w:rPr>
          <w:sz w:val="22"/>
          <w:szCs w:val="22"/>
        </w:rPr>
        <w:t>clinical and nursing expertise</w:t>
      </w:r>
      <w:r w:rsidR="00D81181">
        <w:rPr>
          <w:sz w:val="22"/>
          <w:szCs w:val="22"/>
        </w:rPr>
        <w:t xml:space="preserve"> (urology-</w:t>
      </w:r>
      <w:r w:rsidR="001D03D4" w:rsidRPr="00A70BED">
        <w:rPr>
          <w:sz w:val="22"/>
          <w:szCs w:val="22"/>
        </w:rPr>
        <w:t>specific)</w:t>
      </w:r>
      <w:r w:rsidRPr="00A70BED">
        <w:rPr>
          <w:sz w:val="22"/>
          <w:szCs w:val="22"/>
        </w:rPr>
        <w:t xml:space="preserve"> for patients</w:t>
      </w:r>
      <w:r w:rsidR="001D03D4" w:rsidRPr="00A70BED">
        <w:rPr>
          <w:sz w:val="22"/>
          <w:szCs w:val="22"/>
        </w:rPr>
        <w:t>.</w:t>
      </w:r>
    </w:p>
    <w:p w14:paraId="66CE5FFD" w14:textId="77777777" w:rsidR="007B6A40" w:rsidRPr="00A70BED" w:rsidRDefault="007B6A40" w:rsidP="00507361">
      <w:pPr>
        <w:spacing w:line="360" w:lineRule="auto"/>
        <w:rPr>
          <w:sz w:val="22"/>
          <w:szCs w:val="22"/>
        </w:rPr>
      </w:pPr>
    </w:p>
    <w:p w14:paraId="3D81C2B6" w14:textId="3D262960" w:rsidR="00412066" w:rsidRPr="00095FF4" w:rsidRDefault="00095FF4" w:rsidP="00507361">
      <w:pPr>
        <w:spacing w:line="360" w:lineRule="auto"/>
        <w:rPr>
          <w:b/>
          <w:sz w:val="22"/>
          <w:szCs w:val="22"/>
        </w:rPr>
      </w:pPr>
      <w:r>
        <w:rPr>
          <w:b/>
          <w:sz w:val="22"/>
          <w:szCs w:val="22"/>
        </w:rPr>
        <w:t>4.</w:t>
      </w:r>
      <w:r w:rsidR="002C0F66">
        <w:rPr>
          <w:b/>
          <w:sz w:val="22"/>
          <w:szCs w:val="22"/>
        </w:rPr>
        <w:t xml:space="preserve"> </w:t>
      </w:r>
      <w:r w:rsidR="00412066" w:rsidRPr="00095FF4">
        <w:rPr>
          <w:b/>
          <w:sz w:val="22"/>
          <w:szCs w:val="22"/>
        </w:rPr>
        <w:t>Planning and design concerns</w:t>
      </w:r>
    </w:p>
    <w:p w14:paraId="3617971C" w14:textId="77777777" w:rsidR="00412066" w:rsidRPr="00A70BED" w:rsidRDefault="00412066" w:rsidP="00507361">
      <w:pPr>
        <w:spacing w:line="360" w:lineRule="auto"/>
        <w:rPr>
          <w:b/>
          <w:i/>
          <w:sz w:val="22"/>
          <w:szCs w:val="22"/>
        </w:rPr>
      </w:pPr>
    </w:p>
    <w:p w14:paraId="47BC15C8" w14:textId="7B6B6423" w:rsidR="00781F75" w:rsidRPr="00E33FCA" w:rsidRDefault="00412066" w:rsidP="00507361">
      <w:pPr>
        <w:spacing w:line="360" w:lineRule="auto"/>
        <w:rPr>
          <w:sz w:val="22"/>
          <w:szCs w:val="22"/>
        </w:rPr>
      </w:pPr>
      <w:r w:rsidRPr="00A70BED">
        <w:rPr>
          <w:sz w:val="22"/>
          <w:szCs w:val="22"/>
        </w:rPr>
        <w:t>We have also identified</w:t>
      </w:r>
      <w:r w:rsidR="00C76F6E" w:rsidRPr="00A70BED">
        <w:rPr>
          <w:sz w:val="22"/>
          <w:szCs w:val="22"/>
        </w:rPr>
        <w:t xml:space="preserve"> </w:t>
      </w:r>
      <w:r w:rsidR="00810BFB">
        <w:rPr>
          <w:sz w:val="22"/>
          <w:szCs w:val="22"/>
        </w:rPr>
        <w:t xml:space="preserve">here some of </w:t>
      </w:r>
      <w:r w:rsidRPr="00A70BED">
        <w:rPr>
          <w:sz w:val="22"/>
          <w:szCs w:val="22"/>
        </w:rPr>
        <w:t>our concerns with the overall planning and design of the new facilities</w:t>
      </w:r>
      <w:r w:rsidR="002C0F66">
        <w:rPr>
          <w:sz w:val="22"/>
          <w:szCs w:val="22"/>
        </w:rPr>
        <w:t xml:space="preserve"> </w:t>
      </w:r>
      <w:r w:rsidR="002C0F66" w:rsidRPr="00E33FCA">
        <w:rPr>
          <w:sz w:val="22"/>
          <w:szCs w:val="22"/>
        </w:rPr>
        <w:t xml:space="preserve">which, we would argue, pose </w:t>
      </w:r>
      <w:r w:rsidR="00810BFB" w:rsidRPr="00E33FCA">
        <w:rPr>
          <w:sz w:val="22"/>
          <w:szCs w:val="22"/>
        </w:rPr>
        <w:t>risks</w:t>
      </w:r>
      <w:r w:rsidR="002C0F66" w:rsidRPr="00E33FCA">
        <w:rPr>
          <w:sz w:val="22"/>
          <w:szCs w:val="22"/>
        </w:rPr>
        <w:t xml:space="preserve"> to patient wellbeing, safety and dignity and also compromise staff comfort</w:t>
      </w:r>
      <w:r w:rsidR="00044974" w:rsidRPr="00E33FCA">
        <w:rPr>
          <w:sz w:val="22"/>
          <w:szCs w:val="22"/>
        </w:rPr>
        <w:t>:-</w:t>
      </w:r>
    </w:p>
    <w:p w14:paraId="192FB181" w14:textId="77777777" w:rsidR="00956AD0" w:rsidRPr="00A70BED" w:rsidRDefault="00956AD0" w:rsidP="00507361">
      <w:pPr>
        <w:spacing w:line="360" w:lineRule="auto"/>
        <w:ind w:left="426"/>
        <w:rPr>
          <w:sz w:val="22"/>
          <w:szCs w:val="22"/>
        </w:rPr>
      </w:pPr>
    </w:p>
    <w:p w14:paraId="697B0EF9" w14:textId="2FF83B1C" w:rsidR="00AF4079" w:rsidRPr="00A70BED" w:rsidRDefault="00263434" w:rsidP="00507361">
      <w:pPr>
        <w:pStyle w:val="ListParagraph"/>
        <w:numPr>
          <w:ilvl w:val="0"/>
          <w:numId w:val="13"/>
        </w:numPr>
        <w:spacing w:line="360" w:lineRule="auto"/>
        <w:rPr>
          <w:sz w:val="22"/>
          <w:szCs w:val="22"/>
        </w:rPr>
      </w:pPr>
      <w:r>
        <w:rPr>
          <w:sz w:val="22"/>
          <w:szCs w:val="22"/>
        </w:rPr>
        <w:t>F</w:t>
      </w:r>
      <w:r w:rsidR="003C259F" w:rsidRPr="00A70BED">
        <w:rPr>
          <w:sz w:val="22"/>
          <w:szCs w:val="22"/>
        </w:rPr>
        <w:t xml:space="preserve">or </w:t>
      </w:r>
      <w:r>
        <w:rPr>
          <w:sz w:val="22"/>
          <w:szCs w:val="22"/>
        </w:rPr>
        <w:t>renal transplant</w:t>
      </w:r>
      <w:r w:rsidR="003C259F" w:rsidRPr="00A70BED">
        <w:rPr>
          <w:sz w:val="22"/>
          <w:szCs w:val="22"/>
        </w:rPr>
        <w:t xml:space="preserve">, the ward </w:t>
      </w:r>
      <w:r w:rsidR="00DE1A96" w:rsidRPr="00A70BED">
        <w:rPr>
          <w:sz w:val="22"/>
          <w:szCs w:val="22"/>
        </w:rPr>
        <w:t>bays’ toilet and showering facilities will be ensuite and remain on a ratio of 1 facility for 4 patients</w:t>
      </w:r>
      <w:r>
        <w:rPr>
          <w:sz w:val="22"/>
          <w:szCs w:val="22"/>
        </w:rPr>
        <w:t>. However,</w:t>
      </w:r>
      <w:r w:rsidR="00DE1A96" w:rsidRPr="00A70BED">
        <w:rPr>
          <w:sz w:val="22"/>
          <w:szCs w:val="22"/>
        </w:rPr>
        <w:t xml:space="preserve"> the proposed arrangements do not conform to HBN 04.01 section 5 which recommends a minimum of one shower </w:t>
      </w:r>
      <w:r w:rsidR="00B218F9" w:rsidRPr="00A70BED">
        <w:rPr>
          <w:sz w:val="22"/>
          <w:szCs w:val="22"/>
        </w:rPr>
        <w:t>with</w:t>
      </w:r>
      <w:r w:rsidR="00DE1A96" w:rsidRPr="00A70BED">
        <w:rPr>
          <w:sz w:val="22"/>
          <w:szCs w:val="22"/>
        </w:rPr>
        <w:t xml:space="preserve"> toilet and at least one separate to</w:t>
      </w:r>
      <w:r w:rsidR="001903A4" w:rsidRPr="00A70BED">
        <w:rPr>
          <w:sz w:val="22"/>
          <w:szCs w:val="22"/>
        </w:rPr>
        <w:t>ilet and wash basin in each bay</w:t>
      </w:r>
      <w:r w:rsidR="00A66AE0">
        <w:rPr>
          <w:sz w:val="22"/>
          <w:szCs w:val="22"/>
        </w:rPr>
        <w:t xml:space="preserve"> – a ratio of 1 to 2</w:t>
      </w:r>
      <w:r w:rsidR="00722D41">
        <w:rPr>
          <w:sz w:val="22"/>
          <w:szCs w:val="22"/>
        </w:rPr>
        <w:t xml:space="preserve"> (</w:t>
      </w:r>
      <w:r>
        <w:rPr>
          <w:sz w:val="22"/>
          <w:szCs w:val="22"/>
        </w:rPr>
        <w:t>i.e. one</w:t>
      </w:r>
      <w:r w:rsidR="00722D41">
        <w:rPr>
          <w:sz w:val="22"/>
          <w:szCs w:val="22"/>
        </w:rPr>
        <w:t xml:space="preserve"> facility for </w:t>
      </w:r>
      <w:r>
        <w:rPr>
          <w:sz w:val="22"/>
          <w:szCs w:val="22"/>
        </w:rPr>
        <w:t>two</w:t>
      </w:r>
      <w:r w:rsidR="00722D41">
        <w:rPr>
          <w:sz w:val="22"/>
          <w:szCs w:val="22"/>
        </w:rPr>
        <w:t xml:space="preserve"> patients</w:t>
      </w:r>
      <w:r>
        <w:rPr>
          <w:sz w:val="22"/>
          <w:szCs w:val="22"/>
        </w:rPr>
        <w:t xml:space="preserve"> in a four bedded bay</w:t>
      </w:r>
      <w:r w:rsidR="00722D41">
        <w:rPr>
          <w:sz w:val="22"/>
          <w:szCs w:val="22"/>
        </w:rPr>
        <w:t>)</w:t>
      </w:r>
      <w:r w:rsidR="00B64444" w:rsidRPr="00A70BED">
        <w:rPr>
          <w:sz w:val="22"/>
          <w:szCs w:val="22"/>
        </w:rPr>
        <w:t>.</w:t>
      </w:r>
      <w:r w:rsidR="000E5E28" w:rsidRPr="00A70BED">
        <w:rPr>
          <w:sz w:val="22"/>
          <w:szCs w:val="22"/>
        </w:rPr>
        <w:t xml:space="preserve"> </w:t>
      </w:r>
      <w:r w:rsidR="001903A4" w:rsidRPr="00A70BED">
        <w:rPr>
          <w:sz w:val="22"/>
          <w:szCs w:val="22"/>
        </w:rPr>
        <w:t xml:space="preserve"> </w:t>
      </w:r>
      <w:r w:rsidR="003C259F" w:rsidRPr="00A70BED">
        <w:rPr>
          <w:sz w:val="22"/>
          <w:szCs w:val="22"/>
        </w:rPr>
        <w:t xml:space="preserve">The FBC acknowledges this but states that to include a second toilet will </w:t>
      </w:r>
      <w:r w:rsidR="00A009F8" w:rsidRPr="00A70BED">
        <w:rPr>
          <w:sz w:val="22"/>
          <w:szCs w:val="22"/>
        </w:rPr>
        <w:t>mean a loss of</w:t>
      </w:r>
      <w:r w:rsidR="003C259F" w:rsidRPr="00A70BED">
        <w:rPr>
          <w:sz w:val="22"/>
          <w:szCs w:val="22"/>
        </w:rPr>
        <w:t xml:space="preserve"> bed space</w:t>
      </w:r>
      <w:r w:rsidR="00A009F8" w:rsidRPr="00A70BED">
        <w:rPr>
          <w:sz w:val="22"/>
          <w:szCs w:val="22"/>
        </w:rPr>
        <w:t xml:space="preserve">, a window and a </w:t>
      </w:r>
      <w:r w:rsidR="00A7383B" w:rsidRPr="00A70BED">
        <w:rPr>
          <w:sz w:val="22"/>
          <w:szCs w:val="22"/>
        </w:rPr>
        <w:t>daytime</w:t>
      </w:r>
      <w:r w:rsidR="00A009F8" w:rsidRPr="00A70BED">
        <w:rPr>
          <w:sz w:val="22"/>
          <w:szCs w:val="22"/>
        </w:rPr>
        <w:t xml:space="preserve"> social area</w:t>
      </w:r>
      <w:r w:rsidR="00603E9D" w:rsidRPr="00A70BED">
        <w:rPr>
          <w:sz w:val="22"/>
          <w:szCs w:val="22"/>
        </w:rPr>
        <w:t xml:space="preserve">.  </w:t>
      </w:r>
      <w:r w:rsidR="00A009F8" w:rsidRPr="00A70BED">
        <w:rPr>
          <w:sz w:val="22"/>
          <w:szCs w:val="22"/>
        </w:rPr>
        <w:t xml:space="preserve">In the event of one patient using the communal shower/toilet, a second patient needing the toilet at the same time will be directed to </w:t>
      </w:r>
      <w:r w:rsidR="0034232F" w:rsidRPr="00A70BED">
        <w:rPr>
          <w:sz w:val="22"/>
          <w:szCs w:val="22"/>
        </w:rPr>
        <w:t>a toilet in the other bay (likely to be occupied by the opposite gender) or in one of the single rooms</w:t>
      </w:r>
      <w:r w:rsidR="00603E9D" w:rsidRPr="00A70BED">
        <w:rPr>
          <w:sz w:val="22"/>
          <w:szCs w:val="22"/>
        </w:rPr>
        <w:t xml:space="preserve">.  </w:t>
      </w:r>
      <w:r w:rsidR="002014E6" w:rsidRPr="00A70BED">
        <w:rPr>
          <w:sz w:val="22"/>
          <w:szCs w:val="22"/>
        </w:rPr>
        <w:t>This si</w:t>
      </w:r>
      <w:r w:rsidR="0034232F" w:rsidRPr="00A70BED">
        <w:rPr>
          <w:sz w:val="22"/>
          <w:szCs w:val="22"/>
        </w:rPr>
        <w:t>ngle</w:t>
      </w:r>
      <w:r w:rsidR="002014E6" w:rsidRPr="00A70BED">
        <w:rPr>
          <w:sz w:val="22"/>
          <w:szCs w:val="22"/>
        </w:rPr>
        <w:t xml:space="preserve"> room toilet might be </w:t>
      </w:r>
      <w:r w:rsidR="0034232F" w:rsidRPr="00A70BED">
        <w:rPr>
          <w:sz w:val="22"/>
          <w:szCs w:val="22"/>
        </w:rPr>
        <w:t>occupied by the opposite gender or be</w:t>
      </w:r>
      <w:r w:rsidR="002014E6" w:rsidRPr="00A70BED">
        <w:rPr>
          <w:sz w:val="22"/>
          <w:szCs w:val="22"/>
        </w:rPr>
        <w:t xml:space="preserve"> an isolation room </w:t>
      </w:r>
      <w:r w:rsidR="001D03D4" w:rsidRPr="00A70BED">
        <w:rPr>
          <w:sz w:val="22"/>
          <w:szCs w:val="22"/>
        </w:rPr>
        <w:t>where entry puts either the occupying patient or the entering patient at risk of infection</w:t>
      </w:r>
      <w:r w:rsidR="00603E9D" w:rsidRPr="00A70BED">
        <w:rPr>
          <w:sz w:val="22"/>
          <w:szCs w:val="22"/>
        </w:rPr>
        <w:t xml:space="preserve">.  </w:t>
      </w:r>
      <w:r w:rsidR="00C76F6E" w:rsidRPr="00A70BED">
        <w:rPr>
          <w:sz w:val="22"/>
          <w:szCs w:val="22"/>
        </w:rPr>
        <w:t xml:space="preserve">This becomes particularly pertinent when considering that some </w:t>
      </w:r>
      <w:r w:rsidR="006F4117">
        <w:rPr>
          <w:sz w:val="22"/>
          <w:szCs w:val="22"/>
        </w:rPr>
        <w:t xml:space="preserve">post-operative </w:t>
      </w:r>
      <w:r w:rsidR="00C76F6E" w:rsidRPr="00A70BED">
        <w:rPr>
          <w:sz w:val="22"/>
          <w:szCs w:val="22"/>
        </w:rPr>
        <w:t>transplant patients need to pass urine very frequently</w:t>
      </w:r>
      <w:r w:rsidR="00C12AC5" w:rsidRPr="00A70BED">
        <w:rPr>
          <w:sz w:val="22"/>
          <w:szCs w:val="22"/>
        </w:rPr>
        <w:t xml:space="preserve"> and urgently</w:t>
      </w:r>
      <w:r w:rsidR="00C76F6E" w:rsidRPr="00A70BED">
        <w:rPr>
          <w:sz w:val="22"/>
          <w:szCs w:val="22"/>
        </w:rPr>
        <w:t xml:space="preserve"> onc</w:t>
      </w:r>
      <w:r w:rsidR="00044974">
        <w:rPr>
          <w:sz w:val="22"/>
          <w:szCs w:val="22"/>
        </w:rPr>
        <w:t>e th</w:t>
      </w:r>
      <w:r w:rsidR="00C76F6E" w:rsidRPr="00A70BED">
        <w:rPr>
          <w:sz w:val="22"/>
          <w:szCs w:val="22"/>
        </w:rPr>
        <w:t>eir indwelling urinary catheter has been removed</w:t>
      </w:r>
      <w:r w:rsidR="003453B0" w:rsidRPr="00A70BED">
        <w:rPr>
          <w:sz w:val="22"/>
          <w:szCs w:val="22"/>
        </w:rPr>
        <w:t xml:space="preserve"> </w:t>
      </w:r>
      <w:r w:rsidR="00AF4079" w:rsidRPr="00A70BED">
        <w:rPr>
          <w:sz w:val="22"/>
          <w:szCs w:val="22"/>
        </w:rPr>
        <w:t>and/</w:t>
      </w:r>
      <w:r w:rsidR="003453B0" w:rsidRPr="00A70BED">
        <w:rPr>
          <w:sz w:val="22"/>
          <w:szCs w:val="22"/>
        </w:rPr>
        <w:t>or when patients are trying to find toilets during the night</w:t>
      </w:r>
      <w:r w:rsidR="00603E9D" w:rsidRPr="00A70BED">
        <w:rPr>
          <w:sz w:val="22"/>
          <w:szCs w:val="22"/>
        </w:rPr>
        <w:t>.</w:t>
      </w:r>
      <w:r w:rsidR="002B509A" w:rsidRPr="00A70BED">
        <w:rPr>
          <w:sz w:val="22"/>
          <w:szCs w:val="22"/>
        </w:rPr>
        <w:t xml:space="preserve"> </w:t>
      </w:r>
      <w:r w:rsidR="00F946AA" w:rsidRPr="00A70BED">
        <w:rPr>
          <w:sz w:val="22"/>
          <w:szCs w:val="22"/>
        </w:rPr>
        <w:t xml:space="preserve"> </w:t>
      </w:r>
      <w:r w:rsidR="002B509A" w:rsidRPr="00A70BED">
        <w:rPr>
          <w:sz w:val="22"/>
          <w:szCs w:val="22"/>
        </w:rPr>
        <w:t>There is a</w:t>
      </w:r>
      <w:r w:rsidR="00BB64C9" w:rsidRPr="00A70BED">
        <w:rPr>
          <w:sz w:val="22"/>
          <w:szCs w:val="22"/>
        </w:rPr>
        <w:t>n enhanced risk of falls and</w:t>
      </w:r>
      <w:r w:rsidR="002B509A" w:rsidRPr="00A70BED">
        <w:rPr>
          <w:sz w:val="22"/>
          <w:szCs w:val="22"/>
        </w:rPr>
        <w:t xml:space="preserve"> </w:t>
      </w:r>
      <w:r w:rsidR="00BB64C9" w:rsidRPr="00A70BED">
        <w:rPr>
          <w:sz w:val="22"/>
          <w:szCs w:val="22"/>
        </w:rPr>
        <w:t>compromised</w:t>
      </w:r>
      <w:r w:rsidR="002B509A" w:rsidRPr="00A70BED">
        <w:rPr>
          <w:sz w:val="22"/>
          <w:szCs w:val="22"/>
        </w:rPr>
        <w:t xml:space="preserve"> patient dignity.</w:t>
      </w:r>
      <w:bookmarkStart w:id="0" w:name="_GoBack"/>
      <w:bookmarkEnd w:id="0"/>
      <w:r w:rsidR="002344A6" w:rsidRPr="00A70BED">
        <w:rPr>
          <w:sz w:val="22"/>
          <w:szCs w:val="22"/>
        </w:rPr>
        <w:t xml:space="preserve"> </w:t>
      </w:r>
    </w:p>
    <w:p w14:paraId="66C692D8" w14:textId="77777777" w:rsidR="00761C39" w:rsidRPr="00A70BED" w:rsidRDefault="00761C39" w:rsidP="00507361">
      <w:pPr>
        <w:spacing w:line="360" w:lineRule="auto"/>
        <w:rPr>
          <w:sz w:val="22"/>
          <w:szCs w:val="22"/>
        </w:rPr>
      </w:pPr>
    </w:p>
    <w:p w14:paraId="3F83792F" w14:textId="4C7CB0D3" w:rsidR="00761C39" w:rsidRPr="00A70BED" w:rsidRDefault="00761C39" w:rsidP="00507361">
      <w:pPr>
        <w:pStyle w:val="ListParagraph"/>
        <w:numPr>
          <w:ilvl w:val="0"/>
          <w:numId w:val="13"/>
        </w:numPr>
        <w:spacing w:line="360" w:lineRule="auto"/>
        <w:rPr>
          <w:sz w:val="22"/>
          <w:szCs w:val="22"/>
        </w:rPr>
      </w:pPr>
      <w:r w:rsidRPr="00A70BED">
        <w:rPr>
          <w:sz w:val="22"/>
          <w:szCs w:val="22"/>
        </w:rPr>
        <w:t xml:space="preserve">There is the further concern of the proposed later move from LGH to GH of the remainder of the renal unit to wards to be later vacated by HPB and adjacent </w:t>
      </w:r>
      <w:r w:rsidRPr="00A70BED">
        <w:rPr>
          <w:sz w:val="22"/>
          <w:szCs w:val="22"/>
        </w:rPr>
        <w:lastRenderedPageBreak/>
        <w:t xml:space="preserve">to RT.  As this move is being classed as a separate business case there is no detail but it would seem that </w:t>
      </w:r>
      <w:r w:rsidR="009C313E" w:rsidRPr="00A70BED">
        <w:rPr>
          <w:sz w:val="22"/>
          <w:szCs w:val="22"/>
        </w:rPr>
        <w:t xml:space="preserve">two HPB wards and a triage area cannot be reconfigured to accommodate </w:t>
      </w:r>
      <w:r w:rsidRPr="00A70BED">
        <w:rPr>
          <w:sz w:val="22"/>
          <w:szCs w:val="22"/>
        </w:rPr>
        <w:t xml:space="preserve">two nephrology wards, a nephrology high dependency unit, </w:t>
      </w:r>
      <w:r w:rsidR="00263434">
        <w:rPr>
          <w:sz w:val="22"/>
          <w:szCs w:val="22"/>
        </w:rPr>
        <w:t xml:space="preserve">a renal pharmacy, </w:t>
      </w:r>
      <w:r w:rsidRPr="00A70BED">
        <w:rPr>
          <w:sz w:val="22"/>
          <w:szCs w:val="22"/>
        </w:rPr>
        <w:t>an inpatient dialysis unit,</w:t>
      </w:r>
      <w:r w:rsidR="009C313E" w:rsidRPr="00A70BED">
        <w:rPr>
          <w:sz w:val="22"/>
          <w:szCs w:val="22"/>
        </w:rPr>
        <w:t xml:space="preserve"> </w:t>
      </w:r>
      <w:r w:rsidRPr="00A70BED">
        <w:rPr>
          <w:sz w:val="22"/>
          <w:szCs w:val="22"/>
        </w:rPr>
        <w:t xml:space="preserve">space </w:t>
      </w:r>
      <w:r w:rsidR="009C313E" w:rsidRPr="00A70BED">
        <w:rPr>
          <w:sz w:val="22"/>
          <w:szCs w:val="22"/>
        </w:rPr>
        <w:t xml:space="preserve">at the bed side </w:t>
      </w:r>
      <w:r w:rsidR="00263434">
        <w:rPr>
          <w:sz w:val="22"/>
          <w:szCs w:val="22"/>
        </w:rPr>
        <w:t xml:space="preserve">for dialysis </w:t>
      </w:r>
      <w:r w:rsidR="006F4117">
        <w:rPr>
          <w:sz w:val="22"/>
          <w:szCs w:val="22"/>
        </w:rPr>
        <w:t xml:space="preserve">equipment </w:t>
      </w:r>
      <w:r w:rsidR="009C313E" w:rsidRPr="00A70BED">
        <w:rPr>
          <w:sz w:val="22"/>
          <w:szCs w:val="22"/>
        </w:rPr>
        <w:t xml:space="preserve">and for storage </w:t>
      </w:r>
      <w:r w:rsidR="00263434">
        <w:rPr>
          <w:sz w:val="22"/>
          <w:szCs w:val="22"/>
        </w:rPr>
        <w:t>for</w:t>
      </w:r>
      <w:r w:rsidRPr="00A70BED">
        <w:rPr>
          <w:sz w:val="22"/>
          <w:szCs w:val="22"/>
        </w:rPr>
        <w:t xml:space="preserve"> the </w:t>
      </w:r>
      <w:r w:rsidRPr="001A29C4">
        <w:rPr>
          <w:sz w:val="22"/>
          <w:szCs w:val="22"/>
        </w:rPr>
        <w:t>fluids</w:t>
      </w:r>
      <w:r w:rsidR="004B2EC4" w:rsidRPr="001A29C4">
        <w:rPr>
          <w:sz w:val="22"/>
          <w:szCs w:val="22"/>
        </w:rPr>
        <w:t xml:space="preserve"> and other </w:t>
      </w:r>
      <w:r w:rsidR="005E1740">
        <w:rPr>
          <w:sz w:val="22"/>
          <w:szCs w:val="22"/>
        </w:rPr>
        <w:t xml:space="preserve">consumables </w:t>
      </w:r>
      <w:r w:rsidR="004B2EC4">
        <w:rPr>
          <w:sz w:val="22"/>
          <w:szCs w:val="22"/>
        </w:rPr>
        <w:t>r</w:t>
      </w:r>
      <w:r w:rsidRPr="00A70BED">
        <w:rPr>
          <w:sz w:val="22"/>
          <w:szCs w:val="22"/>
        </w:rPr>
        <w:t>equired for dialysis</w:t>
      </w:r>
      <w:r w:rsidR="009C313E" w:rsidRPr="00A70BED">
        <w:rPr>
          <w:sz w:val="22"/>
          <w:szCs w:val="22"/>
        </w:rPr>
        <w:t>.</w:t>
      </w:r>
      <w:r w:rsidRPr="00A70BED">
        <w:rPr>
          <w:sz w:val="22"/>
          <w:szCs w:val="22"/>
        </w:rPr>
        <w:t xml:space="preserve"> </w:t>
      </w:r>
    </w:p>
    <w:p w14:paraId="3581486A" w14:textId="77777777" w:rsidR="00853CE0" w:rsidRPr="00A70BED" w:rsidRDefault="00853CE0" w:rsidP="00507361">
      <w:pPr>
        <w:spacing w:line="360" w:lineRule="auto"/>
        <w:rPr>
          <w:sz w:val="22"/>
          <w:szCs w:val="22"/>
        </w:rPr>
      </w:pPr>
    </w:p>
    <w:p w14:paraId="0E072B6D" w14:textId="4EA91CF0" w:rsidR="00853CE0" w:rsidRPr="00A70BED" w:rsidRDefault="00853CE0" w:rsidP="00507361">
      <w:pPr>
        <w:pStyle w:val="ListParagraph"/>
        <w:numPr>
          <w:ilvl w:val="0"/>
          <w:numId w:val="13"/>
        </w:numPr>
        <w:spacing w:line="360" w:lineRule="auto"/>
        <w:rPr>
          <w:sz w:val="22"/>
          <w:szCs w:val="22"/>
        </w:rPr>
      </w:pPr>
      <w:r w:rsidRPr="00A70BED">
        <w:rPr>
          <w:sz w:val="22"/>
          <w:szCs w:val="22"/>
        </w:rPr>
        <w:t xml:space="preserve">The design does not meet Department of Health plans for 50% single rooms. </w:t>
      </w:r>
      <w:r w:rsidR="00B218F9" w:rsidRPr="00A70BED">
        <w:rPr>
          <w:sz w:val="22"/>
          <w:szCs w:val="22"/>
        </w:rPr>
        <w:t xml:space="preserve"> </w:t>
      </w:r>
      <w:r w:rsidR="002344A6" w:rsidRPr="00A70BED">
        <w:rPr>
          <w:sz w:val="22"/>
          <w:szCs w:val="22"/>
        </w:rPr>
        <w:t>The FBC proposes 30% single rooms</w:t>
      </w:r>
      <w:r w:rsidR="00603E9D" w:rsidRPr="00A70BED">
        <w:rPr>
          <w:sz w:val="22"/>
          <w:szCs w:val="22"/>
        </w:rPr>
        <w:t xml:space="preserve">.  </w:t>
      </w:r>
      <w:r w:rsidR="002344A6" w:rsidRPr="00A70BED">
        <w:rPr>
          <w:sz w:val="22"/>
          <w:szCs w:val="22"/>
        </w:rPr>
        <w:t xml:space="preserve">This arrangement has been agreed by UHL professionals but, </w:t>
      </w:r>
      <w:r w:rsidR="00B218F9" w:rsidRPr="00A70BED">
        <w:rPr>
          <w:sz w:val="22"/>
          <w:szCs w:val="22"/>
        </w:rPr>
        <w:t>again,</w:t>
      </w:r>
      <w:r w:rsidR="002344A6" w:rsidRPr="00A70BED">
        <w:rPr>
          <w:sz w:val="22"/>
          <w:szCs w:val="22"/>
        </w:rPr>
        <w:t xml:space="preserve"> </w:t>
      </w:r>
      <w:r w:rsidR="00B218F9" w:rsidRPr="00A70BED">
        <w:rPr>
          <w:sz w:val="22"/>
          <w:szCs w:val="22"/>
        </w:rPr>
        <w:t>there is no mention of patient preferences</w:t>
      </w:r>
      <w:r w:rsidR="002344A6" w:rsidRPr="00A70BED">
        <w:rPr>
          <w:sz w:val="22"/>
          <w:szCs w:val="22"/>
        </w:rPr>
        <w:t xml:space="preserve">. </w:t>
      </w:r>
    </w:p>
    <w:p w14:paraId="5F9A2F76" w14:textId="77777777" w:rsidR="00990FF8" w:rsidRPr="00A70BED" w:rsidRDefault="00990FF8" w:rsidP="00507361">
      <w:pPr>
        <w:spacing w:line="360" w:lineRule="auto"/>
        <w:rPr>
          <w:sz w:val="22"/>
          <w:szCs w:val="22"/>
        </w:rPr>
      </w:pPr>
    </w:p>
    <w:p w14:paraId="071CB9E6" w14:textId="49462DB8" w:rsidR="00990FF8" w:rsidRPr="00661BBA" w:rsidRDefault="002B509A" w:rsidP="00507361">
      <w:pPr>
        <w:pStyle w:val="ListParagraph"/>
        <w:numPr>
          <w:ilvl w:val="0"/>
          <w:numId w:val="13"/>
        </w:numPr>
        <w:spacing w:line="360" w:lineRule="auto"/>
        <w:rPr>
          <w:sz w:val="22"/>
          <w:szCs w:val="22"/>
        </w:rPr>
      </w:pPr>
      <w:r w:rsidRPr="00A70BED">
        <w:rPr>
          <w:sz w:val="22"/>
          <w:szCs w:val="22"/>
        </w:rPr>
        <w:t>The recommended bed are</w:t>
      </w:r>
      <w:r w:rsidR="00661BBA">
        <w:rPr>
          <w:sz w:val="22"/>
          <w:szCs w:val="22"/>
        </w:rPr>
        <w:t>a</w:t>
      </w:r>
      <w:r w:rsidRPr="00A70BED">
        <w:rPr>
          <w:sz w:val="22"/>
          <w:szCs w:val="22"/>
        </w:rPr>
        <w:t xml:space="preserve"> </w:t>
      </w:r>
      <w:r w:rsidR="00D81181">
        <w:rPr>
          <w:sz w:val="22"/>
          <w:szCs w:val="22"/>
        </w:rPr>
        <w:t xml:space="preserve">in ICUs </w:t>
      </w:r>
      <w:r w:rsidRPr="00A70BED">
        <w:rPr>
          <w:sz w:val="22"/>
          <w:szCs w:val="22"/>
        </w:rPr>
        <w:t>is 25.5</w:t>
      </w:r>
      <w:r w:rsidR="00661BBA">
        <w:rPr>
          <w:sz w:val="22"/>
          <w:szCs w:val="22"/>
        </w:rPr>
        <w:t>m</w:t>
      </w:r>
      <w:r w:rsidR="00661BBA" w:rsidRPr="00A70BED">
        <w:rPr>
          <w:sz w:val="22"/>
          <w:szCs w:val="22"/>
          <w:vertAlign w:val="superscript"/>
        </w:rPr>
        <w:t>2</w:t>
      </w:r>
      <w:r w:rsidRPr="00A70BED">
        <w:rPr>
          <w:sz w:val="22"/>
          <w:szCs w:val="22"/>
        </w:rPr>
        <w:t xml:space="preserve"> but none of the proposed bed areas achieve that standard </w:t>
      </w:r>
      <w:r w:rsidR="00661BBA">
        <w:rPr>
          <w:sz w:val="22"/>
          <w:szCs w:val="22"/>
        </w:rPr>
        <w:t xml:space="preserve">as they </w:t>
      </w:r>
      <w:r w:rsidRPr="00A70BED">
        <w:rPr>
          <w:sz w:val="22"/>
          <w:szCs w:val="22"/>
        </w:rPr>
        <w:t>rang</w:t>
      </w:r>
      <w:r w:rsidR="00661BBA">
        <w:rPr>
          <w:sz w:val="22"/>
          <w:szCs w:val="22"/>
        </w:rPr>
        <w:t xml:space="preserve">e </w:t>
      </w:r>
      <w:r w:rsidRPr="00A70BED">
        <w:rPr>
          <w:sz w:val="22"/>
          <w:szCs w:val="22"/>
        </w:rPr>
        <w:t>from 20 m</w:t>
      </w:r>
      <w:r w:rsidRPr="00A70BED">
        <w:rPr>
          <w:sz w:val="22"/>
          <w:szCs w:val="22"/>
          <w:vertAlign w:val="superscript"/>
        </w:rPr>
        <w:t>2</w:t>
      </w:r>
      <w:r w:rsidRPr="00A70BED">
        <w:rPr>
          <w:sz w:val="22"/>
          <w:szCs w:val="22"/>
        </w:rPr>
        <w:t xml:space="preserve"> to 23.9m</w:t>
      </w:r>
      <w:r w:rsidRPr="00A70BED">
        <w:rPr>
          <w:sz w:val="22"/>
          <w:szCs w:val="22"/>
          <w:vertAlign w:val="superscript"/>
        </w:rPr>
        <w:t>2</w:t>
      </w:r>
      <w:r w:rsidR="00661BBA" w:rsidRPr="00661BBA">
        <w:rPr>
          <w:sz w:val="22"/>
          <w:szCs w:val="22"/>
        </w:rPr>
        <w:t>.</w:t>
      </w:r>
      <w:r w:rsidR="0071074A" w:rsidRPr="00A70BED">
        <w:rPr>
          <w:sz w:val="22"/>
          <w:szCs w:val="22"/>
        </w:rPr>
        <w:t xml:space="preserve"> </w:t>
      </w:r>
      <w:r w:rsidR="00661BBA">
        <w:rPr>
          <w:sz w:val="22"/>
          <w:szCs w:val="22"/>
        </w:rPr>
        <w:t xml:space="preserve"> </w:t>
      </w:r>
      <w:r w:rsidR="0071074A" w:rsidRPr="00A70BED">
        <w:rPr>
          <w:sz w:val="22"/>
          <w:szCs w:val="22"/>
        </w:rPr>
        <w:t xml:space="preserve">This means that none of GH ICU beds, </w:t>
      </w:r>
      <w:r w:rsidR="0048222A" w:rsidRPr="00A70BED">
        <w:rPr>
          <w:sz w:val="22"/>
          <w:szCs w:val="22"/>
        </w:rPr>
        <w:t xml:space="preserve">described by UHL as </w:t>
      </w:r>
      <w:r w:rsidR="00263434">
        <w:rPr>
          <w:sz w:val="22"/>
          <w:szCs w:val="22"/>
        </w:rPr>
        <w:t>designed</w:t>
      </w:r>
      <w:r w:rsidR="00F72EB3" w:rsidRPr="00A70BED">
        <w:rPr>
          <w:sz w:val="22"/>
          <w:szCs w:val="22"/>
        </w:rPr>
        <w:t xml:space="preserve"> to </w:t>
      </w:r>
      <w:r w:rsidR="00F72EB3" w:rsidRPr="00661BBA">
        <w:rPr>
          <w:sz w:val="22"/>
          <w:szCs w:val="22"/>
        </w:rPr>
        <w:t xml:space="preserve">provide </w:t>
      </w:r>
      <w:r w:rsidR="0048222A" w:rsidRPr="00661BBA">
        <w:rPr>
          <w:sz w:val="22"/>
          <w:szCs w:val="22"/>
        </w:rPr>
        <w:t xml:space="preserve">a </w:t>
      </w:r>
      <w:r w:rsidR="0071074A" w:rsidRPr="00661BBA">
        <w:rPr>
          <w:sz w:val="22"/>
          <w:szCs w:val="22"/>
        </w:rPr>
        <w:t>‘super ICU’</w:t>
      </w:r>
      <w:r w:rsidR="0048222A" w:rsidRPr="00661BBA">
        <w:rPr>
          <w:sz w:val="22"/>
          <w:szCs w:val="22"/>
        </w:rPr>
        <w:t>,</w:t>
      </w:r>
      <w:r w:rsidR="0071074A" w:rsidRPr="00661BBA">
        <w:rPr>
          <w:sz w:val="22"/>
          <w:szCs w:val="22"/>
        </w:rPr>
        <w:t xml:space="preserve"> will meet</w:t>
      </w:r>
      <w:r w:rsidR="00F72EB3" w:rsidRPr="00661BBA">
        <w:rPr>
          <w:sz w:val="22"/>
          <w:szCs w:val="22"/>
        </w:rPr>
        <w:t xml:space="preserve"> the current recommendations and their fitness for long-</w:t>
      </w:r>
      <w:r w:rsidR="00A40450" w:rsidRPr="00661BBA">
        <w:rPr>
          <w:sz w:val="22"/>
          <w:szCs w:val="22"/>
        </w:rPr>
        <w:t>term future use</w:t>
      </w:r>
      <w:r w:rsidR="00F72EB3" w:rsidRPr="00661BBA">
        <w:rPr>
          <w:sz w:val="22"/>
          <w:szCs w:val="22"/>
        </w:rPr>
        <w:t xml:space="preserve"> becomes</w:t>
      </w:r>
      <w:r w:rsidR="00A40450" w:rsidRPr="00661BBA">
        <w:rPr>
          <w:sz w:val="22"/>
          <w:szCs w:val="22"/>
        </w:rPr>
        <w:t xml:space="preserve"> debatable.</w:t>
      </w:r>
    </w:p>
    <w:p w14:paraId="1146B101" w14:textId="77777777" w:rsidR="00956AD0" w:rsidRPr="00A70BED" w:rsidRDefault="00956AD0" w:rsidP="00507361">
      <w:pPr>
        <w:spacing w:line="360" w:lineRule="auto"/>
        <w:rPr>
          <w:sz w:val="22"/>
          <w:szCs w:val="22"/>
        </w:rPr>
      </w:pPr>
    </w:p>
    <w:p w14:paraId="771A8AD8" w14:textId="42EB1600" w:rsidR="00956AD0" w:rsidRPr="00A70BED" w:rsidRDefault="002014E6" w:rsidP="00507361">
      <w:pPr>
        <w:pStyle w:val="ListParagraph"/>
        <w:numPr>
          <w:ilvl w:val="0"/>
          <w:numId w:val="13"/>
        </w:numPr>
        <w:spacing w:line="360" w:lineRule="auto"/>
        <w:rPr>
          <w:sz w:val="22"/>
          <w:szCs w:val="22"/>
        </w:rPr>
      </w:pPr>
      <w:r w:rsidRPr="00A70BED">
        <w:rPr>
          <w:sz w:val="22"/>
          <w:szCs w:val="22"/>
        </w:rPr>
        <w:t xml:space="preserve">Much emphasis has been placed on </w:t>
      </w:r>
      <w:r w:rsidR="007562E6">
        <w:rPr>
          <w:sz w:val="22"/>
          <w:szCs w:val="22"/>
        </w:rPr>
        <w:t>natural lighting.  Although sun-</w:t>
      </w:r>
      <w:r w:rsidRPr="00A70BED">
        <w:rPr>
          <w:sz w:val="22"/>
          <w:szCs w:val="22"/>
        </w:rPr>
        <w:t xml:space="preserve">reflective glass will be used, there still remains the element of overheating </w:t>
      </w:r>
      <w:r w:rsidR="00A40450" w:rsidRPr="00A70BED">
        <w:rPr>
          <w:sz w:val="22"/>
          <w:szCs w:val="22"/>
        </w:rPr>
        <w:t xml:space="preserve">in </w:t>
      </w:r>
      <w:r w:rsidRPr="00A70BED">
        <w:rPr>
          <w:sz w:val="22"/>
          <w:szCs w:val="22"/>
        </w:rPr>
        <w:t>the wards</w:t>
      </w:r>
      <w:r w:rsidR="00263434">
        <w:rPr>
          <w:sz w:val="22"/>
          <w:szCs w:val="22"/>
        </w:rPr>
        <w:t xml:space="preserve"> as t</w:t>
      </w:r>
      <w:r w:rsidRPr="00A70BED">
        <w:rPr>
          <w:sz w:val="22"/>
          <w:szCs w:val="22"/>
        </w:rPr>
        <w:t xml:space="preserve">he proposed </w:t>
      </w:r>
      <w:r w:rsidR="007D08DD" w:rsidRPr="00A70BED">
        <w:rPr>
          <w:sz w:val="22"/>
          <w:szCs w:val="22"/>
        </w:rPr>
        <w:t xml:space="preserve">artificial </w:t>
      </w:r>
      <w:r w:rsidRPr="00A70BED">
        <w:rPr>
          <w:sz w:val="22"/>
          <w:szCs w:val="22"/>
        </w:rPr>
        <w:t xml:space="preserve">lighting </w:t>
      </w:r>
      <w:r w:rsidR="00263434">
        <w:rPr>
          <w:sz w:val="22"/>
          <w:szCs w:val="22"/>
        </w:rPr>
        <w:t xml:space="preserve">alone </w:t>
      </w:r>
      <w:r w:rsidRPr="00A70BED">
        <w:rPr>
          <w:sz w:val="22"/>
          <w:szCs w:val="22"/>
        </w:rPr>
        <w:t>will</w:t>
      </w:r>
      <w:r w:rsidR="00956AD0" w:rsidRPr="00A70BED">
        <w:rPr>
          <w:sz w:val="22"/>
          <w:szCs w:val="22"/>
        </w:rPr>
        <w:t xml:space="preserve"> also </w:t>
      </w:r>
      <w:r w:rsidR="00E11F6D" w:rsidRPr="00A70BED">
        <w:rPr>
          <w:sz w:val="22"/>
          <w:szCs w:val="22"/>
        </w:rPr>
        <w:t>generate h</w:t>
      </w:r>
      <w:r w:rsidR="00C76F6E" w:rsidRPr="00A70BED">
        <w:rPr>
          <w:sz w:val="22"/>
          <w:szCs w:val="22"/>
        </w:rPr>
        <w:t>eat</w:t>
      </w:r>
      <w:r w:rsidR="00956AD0" w:rsidRPr="00A70BED">
        <w:rPr>
          <w:sz w:val="22"/>
          <w:szCs w:val="22"/>
        </w:rPr>
        <w:t xml:space="preserve">. </w:t>
      </w:r>
      <w:r w:rsidR="003453B0" w:rsidRPr="00A70BED">
        <w:rPr>
          <w:sz w:val="22"/>
          <w:szCs w:val="22"/>
        </w:rPr>
        <w:t xml:space="preserve"> </w:t>
      </w:r>
      <w:r w:rsidR="00E11F6D" w:rsidRPr="00A70BED">
        <w:rPr>
          <w:sz w:val="22"/>
          <w:szCs w:val="22"/>
        </w:rPr>
        <w:t>Given the impact of climate change</w:t>
      </w:r>
      <w:r w:rsidR="003453B0" w:rsidRPr="00A70BED">
        <w:rPr>
          <w:sz w:val="22"/>
          <w:szCs w:val="22"/>
        </w:rPr>
        <w:t xml:space="preserve"> and the heat</w:t>
      </w:r>
      <w:r w:rsidR="00765FFB" w:rsidRPr="00A70BED">
        <w:rPr>
          <w:sz w:val="22"/>
          <w:szCs w:val="22"/>
        </w:rPr>
        <w:t xml:space="preserve"> </w:t>
      </w:r>
      <w:r w:rsidR="003453B0" w:rsidRPr="00A70BED">
        <w:rPr>
          <w:sz w:val="22"/>
          <w:szCs w:val="22"/>
        </w:rPr>
        <w:t>wave conditions forecast for future</w:t>
      </w:r>
      <w:r w:rsidR="00765FFB" w:rsidRPr="00A70BED">
        <w:rPr>
          <w:sz w:val="22"/>
          <w:szCs w:val="22"/>
        </w:rPr>
        <w:t xml:space="preserve"> summers</w:t>
      </w:r>
      <w:r w:rsidR="003453B0" w:rsidRPr="00A70BED">
        <w:rPr>
          <w:sz w:val="22"/>
          <w:szCs w:val="22"/>
        </w:rPr>
        <w:t>,</w:t>
      </w:r>
      <w:r w:rsidR="00E11F6D" w:rsidRPr="00A70BED">
        <w:rPr>
          <w:sz w:val="22"/>
          <w:szCs w:val="22"/>
        </w:rPr>
        <w:t xml:space="preserve"> </w:t>
      </w:r>
      <w:r w:rsidR="003453B0" w:rsidRPr="00A70BED">
        <w:rPr>
          <w:sz w:val="22"/>
          <w:szCs w:val="22"/>
        </w:rPr>
        <w:t xml:space="preserve">it </w:t>
      </w:r>
      <w:r w:rsidR="00E11F6D" w:rsidRPr="00A70BED">
        <w:rPr>
          <w:sz w:val="22"/>
          <w:szCs w:val="22"/>
        </w:rPr>
        <w:t xml:space="preserve">would be sensible to incorporate air conditioning </w:t>
      </w:r>
      <w:r w:rsidR="003453B0" w:rsidRPr="00A70BED">
        <w:rPr>
          <w:sz w:val="22"/>
          <w:szCs w:val="22"/>
        </w:rPr>
        <w:t xml:space="preserve">or other heat-mitigating features </w:t>
      </w:r>
      <w:r w:rsidR="00E11F6D" w:rsidRPr="00A70BED">
        <w:rPr>
          <w:sz w:val="22"/>
          <w:szCs w:val="22"/>
        </w:rPr>
        <w:t>in the</w:t>
      </w:r>
      <w:r w:rsidR="00765FFB" w:rsidRPr="00A70BED">
        <w:rPr>
          <w:sz w:val="22"/>
          <w:szCs w:val="22"/>
        </w:rPr>
        <w:t xml:space="preserve"> new-</w:t>
      </w:r>
      <w:r w:rsidR="003453B0" w:rsidRPr="00A70BED">
        <w:rPr>
          <w:sz w:val="22"/>
          <w:szCs w:val="22"/>
        </w:rPr>
        <w:t>build design</w:t>
      </w:r>
      <w:r w:rsidR="006C370F" w:rsidRPr="00A70BED">
        <w:rPr>
          <w:sz w:val="22"/>
          <w:szCs w:val="22"/>
        </w:rPr>
        <w:t xml:space="preserve"> as recommended in HBN 00-01 section 1.19</w:t>
      </w:r>
      <w:r w:rsidR="006C370F" w:rsidRPr="00A70BED">
        <w:rPr>
          <w:rStyle w:val="FootnoteReference"/>
          <w:sz w:val="22"/>
          <w:szCs w:val="22"/>
        </w:rPr>
        <w:footnoteReference w:id="13"/>
      </w:r>
      <w:r w:rsidR="00765FFB" w:rsidRPr="00A70BED">
        <w:rPr>
          <w:sz w:val="22"/>
          <w:szCs w:val="22"/>
        </w:rPr>
        <w:t>.</w:t>
      </w:r>
      <w:r w:rsidR="00E11F6D" w:rsidRPr="00A70BED">
        <w:rPr>
          <w:sz w:val="22"/>
          <w:szCs w:val="22"/>
        </w:rPr>
        <w:t xml:space="preserve"> </w:t>
      </w:r>
    </w:p>
    <w:p w14:paraId="1B8EA7A1" w14:textId="77777777" w:rsidR="00C76F6E" w:rsidRPr="00A70BED" w:rsidRDefault="00C76F6E" w:rsidP="00507361">
      <w:pPr>
        <w:spacing w:line="360" w:lineRule="auto"/>
        <w:rPr>
          <w:sz w:val="22"/>
          <w:szCs w:val="22"/>
        </w:rPr>
      </w:pPr>
    </w:p>
    <w:p w14:paraId="4DD478B5" w14:textId="337199D7" w:rsidR="007D08DD" w:rsidRPr="00A70BED" w:rsidRDefault="007D08DD" w:rsidP="00507361">
      <w:pPr>
        <w:pStyle w:val="ListParagraph"/>
        <w:numPr>
          <w:ilvl w:val="0"/>
          <w:numId w:val="13"/>
        </w:numPr>
        <w:spacing w:line="360" w:lineRule="auto"/>
        <w:rPr>
          <w:i/>
          <w:sz w:val="22"/>
          <w:szCs w:val="22"/>
          <w:u w:val="single"/>
        </w:rPr>
      </w:pPr>
      <w:r w:rsidRPr="00A70BED">
        <w:rPr>
          <w:sz w:val="22"/>
          <w:szCs w:val="22"/>
        </w:rPr>
        <w:t xml:space="preserve">There </w:t>
      </w:r>
      <w:r w:rsidR="00C76F6E" w:rsidRPr="00A70BED">
        <w:rPr>
          <w:sz w:val="22"/>
          <w:szCs w:val="22"/>
        </w:rPr>
        <w:t>is to be</w:t>
      </w:r>
      <w:r w:rsidRPr="00A70BED">
        <w:rPr>
          <w:sz w:val="22"/>
          <w:szCs w:val="22"/>
        </w:rPr>
        <w:t xml:space="preserve"> just one </w:t>
      </w:r>
      <w:r w:rsidR="00765FFB" w:rsidRPr="00A70BED">
        <w:rPr>
          <w:sz w:val="22"/>
          <w:szCs w:val="22"/>
        </w:rPr>
        <w:t>’retreat</w:t>
      </w:r>
      <w:r w:rsidR="006373EE" w:rsidRPr="00A70BED">
        <w:rPr>
          <w:sz w:val="22"/>
          <w:szCs w:val="22"/>
        </w:rPr>
        <w:t>/interview</w:t>
      </w:r>
      <w:r w:rsidR="00765FFB" w:rsidRPr="00A70BED">
        <w:rPr>
          <w:sz w:val="22"/>
          <w:szCs w:val="22"/>
        </w:rPr>
        <w:t xml:space="preserve">’ </w:t>
      </w:r>
      <w:r w:rsidRPr="00A70BED">
        <w:rPr>
          <w:sz w:val="22"/>
          <w:szCs w:val="22"/>
        </w:rPr>
        <w:t xml:space="preserve">room </w:t>
      </w:r>
      <w:r w:rsidR="00765FFB" w:rsidRPr="00A70BED">
        <w:rPr>
          <w:sz w:val="22"/>
          <w:szCs w:val="22"/>
        </w:rPr>
        <w:t>planned</w:t>
      </w:r>
      <w:r w:rsidR="008B3BD9" w:rsidRPr="00A70BED">
        <w:rPr>
          <w:sz w:val="22"/>
          <w:szCs w:val="22"/>
        </w:rPr>
        <w:t xml:space="preserve"> </w:t>
      </w:r>
      <w:r w:rsidRPr="00A70BED">
        <w:rPr>
          <w:sz w:val="22"/>
          <w:szCs w:val="22"/>
        </w:rPr>
        <w:t xml:space="preserve">for </w:t>
      </w:r>
      <w:r w:rsidR="00C76F6E" w:rsidRPr="00A70BED">
        <w:rPr>
          <w:sz w:val="22"/>
          <w:szCs w:val="22"/>
        </w:rPr>
        <w:t>the two HPB wards with 7 non-specified areas</w:t>
      </w:r>
      <w:r w:rsidR="00A40450" w:rsidRPr="00A70BED">
        <w:rPr>
          <w:sz w:val="22"/>
          <w:szCs w:val="22"/>
        </w:rPr>
        <w:t>,</w:t>
      </w:r>
      <w:r w:rsidR="00C76F6E" w:rsidRPr="00A70BED">
        <w:rPr>
          <w:sz w:val="22"/>
          <w:szCs w:val="22"/>
        </w:rPr>
        <w:t xml:space="preserve"> which could also be used</w:t>
      </w:r>
      <w:r w:rsidRPr="00A70BED">
        <w:rPr>
          <w:sz w:val="22"/>
          <w:szCs w:val="22"/>
        </w:rPr>
        <w:t xml:space="preserve">.  </w:t>
      </w:r>
      <w:r w:rsidR="008B3BD9" w:rsidRPr="00A70BED">
        <w:rPr>
          <w:sz w:val="22"/>
          <w:szCs w:val="22"/>
        </w:rPr>
        <w:t xml:space="preserve">There appears to be no provision of a </w:t>
      </w:r>
      <w:r w:rsidR="00D937E2" w:rsidRPr="00A70BED">
        <w:rPr>
          <w:sz w:val="22"/>
          <w:szCs w:val="22"/>
        </w:rPr>
        <w:t>‘</w:t>
      </w:r>
      <w:r w:rsidR="008B3BD9" w:rsidRPr="00A70BED">
        <w:rPr>
          <w:sz w:val="22"/>
          <w:szCs w:val="22"/>
        </w:rPr>
        <w:t>retreat</w:t>
      </w:r>
      <w:r w:rsidR="006373EE" w:rsidRPr="00A70BED">
        <w:rPr>
          <w:sz w:val="22"/>
          <w:szCs w:val="22"/>
        </w:rPr>
        <w:t>/interview</w:t>
      </w:r>
      <w:r w:rsidR="00D937E2" w:rsidRPr="00A70BED">
        <w:rPr>
          <w:sz w:val="22"/>
          <w:szCs w:val="22"/>
        </w:rPr>
        <w:t>’</w:t>
      </w:r>
      <w:r w:rsidR="008B3BD9" w:rsidRPr="00A70BED">
        <w:rPr>
          <w:sz w:val="22"/>
          <w:szCs w:val="22"/>
        </w:rPr>
        <w:t xml:space="preserve"> room for RT. </w:t>
      </w:r>
      <w:r w:rsidR="00D937E2" w:rsidRPr="00A70BED">
        <w:rPr>
          <w:sz w:val="22"/>
          <w:szCs w:val="22"/>
        </w:rPr>
        <w:t xml:space="preserve"> </w:t>
      </w:r>
      <w:r w:rsidR="006F4117">
        <w:rPr>
          <w:sz w:val="22"/>
          <w:szCs w:val="22"/>
        </w:rPr>
        <w:t xml:space="preserve">We suggest this is insufficient as </w:t>
      </w:r>
      <w:r w:rsidR="008B3BD9" w:rsidRPr="00A70BED">
        <w:rPr>
          <w:sz w:val="22"/>
          <w:szCs w:val="22"/>
        </w:rPr>
        <w:t>RT</w:t>
      </w:r>
      <w:r w:rsidRPr="00A70BED">
        <w:rPr>
          <w:sz w:val="22"/>
          <w:szCs w:val="22"/>
        </w:rPr>
        <w:t xml:space="preserve"> and HPB </w:t>
      </w:r>
      <w:r w:rsidR="008B3BD9" w:rsidRPr="00A70BED">
        <w:rPr>
          <w:sz w:val="22"/>
          <w:szCs w:val="22"/>
        </w:rPr>
        <w:t xml:space="preserve">both deal with very acutely unwell </w:t>
      </w:r>
      <w:r w:rsidRPr="00A70BED">
        <w:rPr>
          <w:sz w:val="22"/>
          <w:szCs w:val="22"/>
        </w:rPr>
        <w:t xml:space="preserve">patients </w:t>
      </w:r>
      <w:r w:rsidR="008B3BD9" w:rsidRPr="00A70BED">
        <w:rPr>
          <w:sz w:val="22"/>
          <w:szCs w:val="22"/>
        </w:rPr>
        <w:t>and often very anxious significant others.</w:t>
      </w:r>
      <w:r w:rsidR="002C0512" w:rsidRPr="00A70BED">
        <w:rPr>
          <w:sz w:val="22"/>
          <w:szCs w:val="22"/>
        </w:rPr>
        <w:t xml:space="preserve"> </w:t>
      </w:r>
      <w:r w:rsidR="008B3BD9" w:rsidRPr="00A70BED">
        <w:rPr>
          <w:sz w:val="22"/>
          <w:szCs w:val="22"/>
        </w:rPr>
        <w:t xml:space="preserve"> A</w:t>
      </w:r>
      <w:r w:rsidRPr="00A70BED">
        <w:rPr>
          <w:sz w:val="22"/>
          <w:szCs w:val="22"/>
        </w:rPr>
        <w:t xml:space="preserve"> space </w:t>
      </w:r>
      <w:r w:rsidR="008B3BD9" w:rsidRPr="00A70BED">
        <w:rPr>
          <w:sz w:val="22"/>
          <w:szCs w:val="22"/>
        </w:rPr>
        <w:t>for quiet and confidential discussions with staff</w:t>
      </w:r>
      <w:r w:rsidRPr="00A70BED">
        <w:rPr>
          <w:sz w:val="22"/>
          <w:szCs w:val="22"/>
        </w:rPr>
        <w:t xml:space="preserve"> </w:t>
      </w:r>
      <w:r w:rsidR="002C0512" w:rsidRPr="00A70BED">
        <w:rPr>
          <w:sz w:val="22"/>
          <w:szCs w:val="22"/>
        </w:rPr>
        <w:t>is essential for privacy and dignity – especially when dealing with distressed and vulnerable people</w:t>
      </w:r>
      <w:r w:rsidR="002C0512" w:rsidRPr="00A70BED">
        <w:rPr>
          <w:sz w:val="22"/>
          <w:szCs w:val="22"/>
          <w:u w:val="single"/>
        </w:rPr>
        <w:t>.</w:t>
      </w:r>
    </w:p>
    <w:p w14:paraId="6B2798C9" w14:textId="77777777" w:rsidR="00106D39" w:rsidRPr="00A70BED" w:rsidRDefault="00106D39" w:rsidP="00507361">
      <w:pPr>
        <w:pStyle w:val="ListParagraph"/>
        <w:spacing w:line="360" w:lineRule="auto"/>
        <w:ind w:left="786"/>
        <w:rPr>
          <w:i/>
          <w:sz w:val="22"/>
          <w:szCs w:val="22"/>
        </w:rPr>
      </w:pPr>
    </w:p>
    <w:p w14:paraId="7288EF78" w14:textId="1BE4E673" w:rsidR="00E1364C" w:rsidRPr="00A70BED" w:rsidRDefault="00E1364C" w:rsidP="00507361">
      <w:pPr>
        <w:pStyle w:val="ListParagraph"/>
        <w:numPr>
          <w:ilvl w:val="0"/>
          <w:numId w:val="13"/>
        </w:numPr>
        <w:spacing w:line="360" w:lineRule="auto"/>
        <w:rPr>
          <w:sz w:val="22"/>
          <w:szCs w:val="22"/>
        </w:rPr>
      </w:pPr>
      <w:r w:rsidRPr="00A70BED">
        <w:rPr>
          <w:sz w:val="22"/>
          <w:szCs w:val="22"/>
        </w:rPr>
        <w:lastRenderedPageBreak/>
        <w:t>Throughout the FBC there are</w:t>
      </w:r>
      <w:r w:rsidR="0048222A" w:rsidRPr="00A70BED">
        <w:rPr>
          <w:sz w:val="22"/>
          <w:szCs w:val="22"/>
        </w:rPr>
        <w:t xml:space="preserve"> further</w:t>
      </w:r>
      <w:r w:rsidRPr="00A70BED">
        <w:rPr>
          <w:sz w:val="22"/>
          <w:szCs w:val="22"/>
        </w:rPr>
        <w:t xml:space="preserve"> deviations from Healthcare Building Notes and </w:t>
      </w:r>
      <w:r w:rsidR="00F72EB3" w:rsidRPr="00A70BED">
        <w:rPr>
          <w:sz w:val="22"/>
          <w:szCs w:val="22"/>
        </w:rPr>
        <w:t xml:space="preserve">references to </w:t>
      </w:r>
      <w:r w:rsidRPr="00A70BED">
        <w:rPr>
          <w:sz w:val="22"/>
          <w:szCs w:val="22"/>
        </w:rPr>
        <w:t xml:space="preserve">proposed mitigations and derogations </w:t>
      </w:r>
      <w:r w:rsidR="00367563" w:rsidRPr="00A70BED">
        <w:rPr>
          <w:sz w:val="22"/>
          <w:szCs w:val="22"/>
        </w:rPr>
        <w:t>that</w:t>
      </w:r>
      <w:r w:rsidRPr="00A70BED">
        <w:rPr>
          <w:sz w:val="22"/>
          <w:szCs w:val="22"/>
        </w:rPr>
        <w:t xml:space="preserve"> </w:t>
      </w:r>
      <w:r w:rsidR="00F72EB3" w:rsidRPr="00A70BED">
        <w:rPr>
          <w:sz w:val="22"/>
          <w:szCs w:val="22"/>
        </w:rPr>
        <w:t>demand</w:t>
      </w:r>
      <w:r w:rsidRPr="00A70BED">
        <w:rPr>
          <w:sz w:val="22"/>
          <w:szCs w:val="22"/>
        </w:rPr>
        <w:t xml:space="preserve"> more </w:t>
      </w:r>
      <w:r w:rsidR="00F72EB3" w:rsidRPr="00A70BED">
        <w:rPr>
          <w:sz w:val="22"/>
          <w:szCs w:val="22"/>
        </w:rPr>
        <w:t>explanation</w:t>
      </w:r>
      <w:r w:rsidR="006373EE" w:rsidRPr="00A70BED">
        <w:rPr>
          <w:sz w:val="22"/>
          <w:szCs w:val="22"/>
        </w:rPr>
        <w:t xml:space="preserve"> or </w:t>
      </w:r>
      <w:r w:rsidR="00A40450" w:rsidRPr="00A70BED">
        <w:rPr>
          <w:sz w:val="22"/>
          <w:szCs w:val="22"/>
        </w:rPr>
        <w:t>the due release</w:t>
      </w:r>
      <w:r w:rsidR="006373EE" w:rsidRPr="00A70BED">
        <w:rPr>
          <w:sz w:val="22"/>
          <w:szCs w:val="22"/>
        </w:rPr>
        <w:t xml:space="preserve"> of the</w:t>
      </w:r>
      <w:r w:rsidR="00F72EB3" w:rsidRPr="00A70BED">
        <w:rPr>
          <w:sz w:val="22"/>
          <w:szCs w:val="22"/>
        </w:rPr>
        <w:t xml:space="preserve"> detail</w:t>
      </w:r>
      <w:r w:rsidR="003C259F" w:rsidRPr="00A70BED">
        <w:rPr>
          <w:sz w:val="22"/>
          <w:szCs w:val="22"/>
        </w:rPr>
        <w:t>, stated as being</w:t>
      </w:r>
      <w:r w:rsidR="00F72EB3" w:rsidRPr="00A70BED">
        <w:rPr>
          <w:sz w:val="22"/>
          <w:szCs w:val="22"/>
        </w:rPr>
        <w:t xml:space="preserve"> in the</w:t>
      </w:r>
      <w:r w:rsidR="006373EE" w:rsidRPr="00A70BED">
        <w:rPr>
          <w:sz w:val="22"/>
          <w:szCs w:val="22"/>
        </w:rPr>
        <w:t xml:space="preserve"> relevant appendices</w:t>
      </w:r>
      <w:r w:rsidR="003C259F" w:rsidRPr="00A70BED">
        <w:rPr>
          <w:sz w:val="22"/>
          <w:szCs w:val="22"/>
        </w:rPr>
        <w:t>,</w:t>
      </w:r>
      <w:r w:rsidR="00A40450" w:rsidRPr="00A70BED">
        <w:rPr>
          <w:sz w:val="22"/>
          <w:szCs w:val="22"/>
        </w:rPr>
        <w:t xml:space="preserve"> into the public domain</w:t>
      </w:r>
      <w:r w:rsidRPr="00A70BED">
        <w:rPr>
          <w:sz w:val="22"/>
          <w:szCs w:val="22"/>
        </w:rPr>
        <w:t>.</w:t>
      </w:r>
      <w:r w:rsidR="006373EE" w:rsidRPr="00A70BED">
        <w:rPr>
          <w:sz w:val="22"/>
          <w:szCs w:val="22"/>
        </w:rPr>
        <w:t xml:space="preserve">  These are significant as they are likely to entail a reduction in the quality of the building and the facilities through which care is provided. </w:t>
      </w:r>
    </w:p>
    <w:p w14:paraId="7D0A510C" w14:textId="77777777" w:rsidR="006373EE" w:rsidRPr="00A70BED" w:rsidRDefault="006373EE" w:rsidP="00507361">
      <w:pPr>
        <w:spacing w:line="360" w:lineRule="auto"/>
        <w:rPr>
          <w:i/>
          <w:sz w:val="22"/>
          <w:szCs w:val="22"/>
        </w:rPr>
      </w:pPr>
    </w:p>
    <w:p w14:paraId="349DA6C7" w14:textId="280830AE" w:rsidR="007D08DD" w:rsidRPr="0063375A" w:rsidRDefault="00DD4D25" w:rsidP="00507361">
      <w:pPr>
        <w:pStyle w:val="ListParagraph"/>
        <w:numPr>
          <w:ilvl w:val="0"/>
          <w:numId w:val="13"/>
        </w:numPr>
        <w:spacing w:line="360" w:lineRule="auto"/>
        <w:rPr>
          <w:sz w:val="22"/>
          <w:szCs w:val="22"/>
        </w:rPr>
      </w:pPr>
      <w:r w:rsidRPr="0063375A">
        <w:rPr>
          <w:sz w:val="22"/>
          <w:szCs w:val="22"/>
        </w:rPr>
        <w:t>If building has</w:t>
      </w:r>
      <w:r w:rsidR="00CD57AC" w:rsidRPr="0063375A">
        <w:rPr>
          <w:sz w:val="22"/>
          <w:szCs w:val="22"/>
        </w:rPr>
        <w:t xml:space="preserve"> not commenced by November 2018</w:t>
      </w:r>
      <w:r w:rsidRPr="0063375A">
        <w:rPr>
          <w:sz w:val="22"/>
          <w:szCs w:val="22"/>
        </w:rPr>
        <w:t xml:space="preserve">, planning permission will need to be sought again.  </w:t>
      </w:r>
      <w:r w:rsidR="006A4266" w:rsidRPr="0063375A">
        <w:rPr>
          <w:sz w:val="22"/>
          <w:szCs w:val="22"/>
        </w:rPr>
        <w:t>The FBC states that UHL intended to submit a planning application in August 2018 and did not envisage difficulties with this. We do not know the outcome of this application.</w:t>
      </w:r>
    </w:p>
    <w:p w14:paraId="01D18A8C" w14:textId="77777777" w:rsidR="00CD57AC" w:rsidRPr="00A70BED" w:rsidRDefault="00CD57AC" w:rsidP="00507361">
      <w:pPr>
        <w:spacing w:line="360" w:lineRule="auto"/>
        <w:ind w:left="360"/>
        <w:rPr>
          <w:sz w:val="22"/>
          <w:szCs w:val="22"/>
        </w:rPr>
      </w:pPr>
    </w:p>
    <w:p w14:paraId="2A1B974B" w14:textId="14B2E4A7" w:rsidR="00F946AA" w:rsidRDefault="00A178C8" w:rsidP="00507361">
      <w:pPr>
        <w:pStyle w:val="ListParagraph"/>
        <w:numPr>
          <w:ilvl w:val="0"/>
          <w:numId w:val="13"/>
        </w:numPr>
        <w:spacing w:line="360" w:lineRule="auto"/>
        <w:rPr>
          <w:sz w:val="22"/>
          <w:szCs w:val="22"/>
        </w:rPr>
      </w:pPr>
      <w:r w:rsidRPr="00A70BED">
        <w:rPr>
          <w:sz w:val="22"/>
          <w:szCs w:val="22"/>
        </w:rPr>
        <w:t>It is not clear in the fu</w:t>
      </w:r>
      <w:r w:rsidR="00F946AA" w:rsidRPr="00A70BED">
        <w:rPr>
          <w:sz w:val="22"/>
          <w:szCs w:val="22"/>
        </w:rPr>
        <w:t xml:space="preserve">ll business case to understand </w:t>
      </w:r>
      <w:r w:rsidRPr="00A70BED">
        <w:rPr>
          <w:sz w:val="22"/>
          <w:szCs w:val="22"/>
        </w:rPr>
        <w:t xml:space="preserve">how the land at LGH and GH has been valued and so difficult for the public to assess whether this represents the best value. </w:t>
      </w:r>
    </w:p>
    <w:p w14:paraId="429C39DF" w14:textId="4AC718AB" w:rsidR="00154DFA" w:rsidRPr="00263434" w:rsidRDefault="00263434" w:rsidP="00507361">
      <w:pPr>
        <w:pStyle w:val="ListParagraph"/>
        <w:tabs>
          <w:tab w:val="left" w:pos="3048"/>
        </w:tabs>
        <w:spacing w:line="360" w:lineRule="auto"/>
      </w:pPr>
      <w:r>
        <w:rPr>
          <w:sz w:val="22"/>
          <w:szCs w:val="22"/>
        </w:rPr>
        <w:tab/>
      </w:r>
    </w:p>
    <w:p w14:paraId="5A2B1625" w14:textId="67DFB183" w:rsidR="004D6A0C" w:rsidRDefault="00B218F9" w:rsidP="00507361">
      <w:pPr>
        <w:pStyle w:val="ListParagraph"/>
        <w:numPr>
          <w:ilvl w:val="0"/>
          <w:numId w:val="13"/>
        </w:numPr>
        <w:spacing w:line="360" w:lineRule="auto"/>
        <w:rPr>
          <w:sz w:val="22"/>
          <w:szCs w:val="22"/>
        </w:rPr>
      </w:pPr>
      <w:r w:rsidRPr="00A70BED">
        <w:rPr>
          <w:sz w:val="22"/>
          <w:szCs w:val="22"/>
        </w:rPr>
        <w:t>The FBC papers presented at the UHL Trust Board meeting on 5th July 2018 do not include the technical appendices.  This means that members of the public assessing the FBC are unable to acce</w:t>
      </w:r>
      <w:r w:rsidR="00B86975">
        <w:rPr>
          <w:sz w:val="22"/>
          <w:szCs w:val="22"/>
        </w:rPr>
        <w:t>ss all the necessary information</w:t>
      </w:r>
    </w:p>
    <w:p w14:paraId="078C70C8" w14:textId="77777777" w:rsidR="00B86975" w:rsidRPr="00B86975" w:rsidRDefault="00B86975" w:rsidP="00507361">
      <w:pPr>
        <w:spacing w:line="360" w:lineRule="auto"/>
        <w:rPr>
          <w:sz w:val="22"/>
          <w:szCs w:val="22"/>
        </w:rPr>
      </w:pPr>
    </w:p>
    <w:p w14:paraId="356AC65E" w14:textId="3A026FCC" w:rsidR="00E5631E" w:rsidRPr="00B86975" w:rsidRDefault="00B86975" w:rsidP="00507361">
      <w:pPr>
        <w:spacing w:line="360" w:lineRule="auto"/>
        <w:rPr>
          <w:b/>
          <w:sz w:val="22"/>
          <w:szCs w:val="22"/>
        </w:rPr>
      </w:pPr>
      <w:r>
        <w:rPr>
          <w:b/>
          <w:sz w:val="22"/>
          <w:szCs w:val="22"/>
        </w:rPr>
        <w:t xml:space="preserve">5. </w:t>
      </w:r>
      <w:r w:rsidR="00106D39" w:rsidRPr="00B86975">
        <w:rPr>
          <w:b/>
          <w:sz w:val="22"/>
          <w:szCs w:val="22"/>
        </w:rPr>
        <w:t>Workforce planning</w:t>
      </w:r>
      <w:r w:rsidR="002E7B91" w:rsidRPr="00B86975">
        <w:rPr>
          <w:b/>
          <w:sz w:val="22"/>
          <w:szCs w:val="22"/>
        </w:rPr>
        <w:t xml:space="preserve"> and staff</w:t>
      </w:r>
    </w:p>
    <w:p w14:paraId="34CA654E" w14:textId="77777777" w:rsidR="00106D39" w:rsidRPr="00A70BED" w:rsidRDefault="00106D39" w:rsidP="00507361">
      <w:pPr>
        <w:spacing w:line="360" w:lineRule="auto"/>
        <w:rPr>
          <w:sz w:val="22"/>
          <w:szCs w:val="22"/>
        </w:rPr>
      </w:pPr>
    </w:p>
    <w:p w14:paraId="539D41EB" w14:textId="5F8A2FCC" w:rsidR="00C018D9" w:rsidRPr="00A70BED" w:rsidRDefault="00106D39" w:rsidP="00507361">
      <w:pPr>
        <w:pStyle w:val="ListParagraph"/>
        <w:numPr>
          <w:ilvl w:val="0"/>
          <w:numId w:val="17"/>
        </w:numPr>
        <w:spacing w:line="360" w:lineRule="auto"/>
        <w:rPr>
          <w:sz w:val="22"/>
          <w:szCs w:val="22"/>
        </w:rPr>
      </w:pPr>
      <w:r w:rsidRPr="00A70BED">
        <w:rPr>
          <w:sz w:val="22"/>
          <w:szCs w:val="22"/>
        </w:rPr>
        <w:t xml:space="preserve">Although workforce planning has been given consideration, there is no mention of the possible loss of staff </w:t>
      </w:r>
      <w:r w:rsidR="00603E9D" w:rsidRPr="00A70BED">
        <w:rPr>
          <w:sz w:val="22"/>
          <w:szCs w:val="22"/>
        </w:rPr>
        <w:t>that</w:t>
      </w:r>
      <w:r w:rsidRPr="00A70BED">
        <w:rPr>
          <w:sz w:val="22"/>
          <w:szCs w:val="22"/>
        </w:rPr>
        <w:t xml:space="preserve"> will find their daily commute longer and more expensive (although there will be some members of staff who will gain)</w:t>
      </w:r>
      <w:r w:rsidR="00C018D9" w:rsidRPr="00A70BED">
        <w:rPr>
          <w:sz w:val="22"/>
          <w:szCs w:val="22"/>
        </w:rPr>
        <w:t>.  There might be a loss of experienced staff from the specialities for personal</w:t>
      </w:r>
      <w:r w:rsidR="00B07598" w:rsidRPr="00A70BED">
        <w:rPr>
          <w:sz w:val="22"/>
          <w:szCs w:val="22"/>
        </w:rPr>
        <w:t>, logistic</w:t>
      </w:r>
      <w:r w:rsidR="00C018D9" w:rsidRPr="00A70BED">
        <w:rPr>
          <w:sz w:val="22"/>
          <w:szCs w:val="22"/>
        </w:rPr>
        <w:t xml:space="preserve"> and financial reasons. </w:t>
      </w:r>
    </w:p>
    <w:p w14:paraId="3A6AB167" w14:textId="77777777" w:rsidR="00990750" w:rsidRPr="00A70BED" w:rsidRDefault="00990750" w:rsidP="00507361">
      <w:pPr>
        <w:spacing w:line="360" w:lineRule="auto"/>
        <w:ind w:left="360"/>
        <w:rPr>
          <w:sz w:val="22"/>
          <w:szCs w:val="22"/>
        </w:rPr>
      </w:pPr>
    </w:p>
    <w:p w14:paraId="5A708B91" w14:textId="77777777" w:rsidR="0079114E" w:rsidRPr="00086351" w:rsidRDefault="0079114E" w:rsidP="00086351">
      <w:pPr>
        <w:rPr>
          <w:sz w:val="22"/>
          <w:szCs w:val="22"/>
        </w:rPr>
      </w:pPr>
    </w:p>
    <w:p w14:paraId="2CF7279C" w14:textId="301B68C5" w:rsidR="0079114E" w:rsidRPr="0079114E" w:rsidRDefault="0079114E" w:rsidP="00E408B2">
      <w:pPr>
        <w:spacing w:line="360" w:lineRule="auto"/>
        <w:rPr>
          <w:sz w:val="22"/>
          <w:szCs w:val="22"/>
        </w:rPr>
      </w:pPr>
    </w:p>
    <w:p w14:paraId="2F2C70A6" w14:textId="2A03B799" w:rsidR="00C018D9" w:rsidRPr="00A70BED" w:rsidRDefault="002B47CC" w:rsidP="00507361">
      <w:pPr>
        <w:spacing w:line="360" w:lineRule="auto"/>
        <w:rPr>
          <w:b/>
          <w:sz w:val="22"/>
          <w:szCs w:val="22"/>
        </w:rPr>
      </w:pPr>
      <w:r>
        <w:rPr>
          <w:b/>
          <w:sz w:val="22"/>
          <w:szCs w:val="22"/>
        </w:rPr>
        <w:t xml:space="preserve">6. </w:t>
      </w:r>
      <w:r w:rsidR="00C018D9" w:rsidRPr="00A70BED">
        <w:rPr>
          <w:b/>
          <w:sz w:val="22"/>
          <w:szCs w:val="22"/>
        </w:rPr>
        <w:t>Conclusion</w:t>
      </w:r>
    </w:p>
    <w:p w14:paraId="77BBD15F" w14:textId="77777777" w:rsidR="00184882" w:rsidRPr="00A70BED" w:rsidRDefault="00184882" w:rsidP="00507361">
      <w:pPr>
        <w:spacing w:line="360" w:lineRule="auto"/>
        <w:rPr>
          <w:sz w:val="22"/>
          <w:szCs w:val="22"/>
        </w:rPr>
      </w:pPr>
    </w:p>
    <w:p w14:paraId="55031F10" w14:textId="409053A5" w:rsidR="00C8540F" w:rsidRPr="00A70BED" w:rsidRDefault="00184882" w:rsidP="00507361">
      <w:pPr>
        <w:pStyle w:val="ListParagraph"/>
        <w:numPr>
          <w:ilvl w:val="0"/>
          <w:numId w:val="18"/>
        </w:numPr>
        <w:spacing w:line="360" w:lineRule="auto"/>
        <w:rPr>
          <w:sz w:val="22"/>
          <w:szCs w:val="22"/>
        </w:rPr>
      </w:pPr>
      <w:r w:rsidRPr="00A70BED">
        <w:rPr>
          <w:sz w:val="22"/>
          <w:szCs w:val="22"/>
        </w:rPr>
        <w:t>There has been inadequate public consultation</w:t>
      </w:r>
      <w:r w:rsidR="00C568CA" w:rsidRPr="00A70BED">
        <w:rPr>
          <w:sz w:val="22"/>
          <w:szCs w:val="22"/>
        </w:rPr>
        <w:t>.  Instead,</w:t>
      </w:r>
      <w:r w:rsidRPr="00A70BED">
        <w:rPr>
          <w:sz w:val="22"/>
          <w:szCs w:val="22"/>
        </w:rPr>
        <w:t xml:space="preserve"> </w:t>
      </w:r>
      <w:r w:rsidR="00C568CA" w:rsidRPr="00A70BED">
        <w:rPr>
          <w:sz w:val="22"/>
          <w:szCs w:val="22"/>
        </w:rPr>
        <w:t xml:space="preserve">a </w:t>
      </w:r>
      <w:r w:rsidR="00C8540F" w:rsidRPr="00A70BED">
        <w:rPr>
          <w:sz w:val="22"/>
          <w:szCs w:val="22"/>
        </w:rPr>
        <w:t xml:space="preserve">recent presentation to one </w:t>
      </w:r>
      <w:r w:rsidR="00154DFA">
        <w:rPr>
          <w:sz w:val="22"/>
          <w:szCs w:val="22"/>
        </w:rPr>
        <w:t>h</w:t>
      </w:r>
      <w:r w:rsidR="00C8540F" w:rsidRPr="00A70BED">
        <w:rPr>
          <w:sz w:val="22"/>
          <w:szCs w:val="22"/>
        </w:rPr>
        <w:t xml:space="preserve">ealth </w:t>
      </w:r>
      <w:r w:rsidR="00154DFA">
        <w:rPr>
          <w:sz w:val="22"/>
          <w:szCs w:val="22"/>
        </w:rPr>
        <w:t>o</w:t>
      </w:r>
      <w:r w:rsidR="00C8540F" w:rsidRPr="00A70BED">
        <w:rPr>
          <w:sz w:val="22"/>
          <w:szCs w:val="22"/>
        </w:rPr>
        <w:t xml:space="preserve">verview and </w:t>
      </w:r>
      <w:r w:rsidR="00154DFA">
        <w:rPr>
          <w:sz w:val="22"/>
          <w:szCs w:val="22"/>
        </w:rPr>
        <w:t>s</w:t>
      </w:r>
      <w:r w:rsidR="00C8540F" w:rsidRPr="00A70BED">
        <w:rPr>
          <w:sz w:val="22"/>
          <w:szCs w:val="22"/>
        </w:rPr>
        <w:t xml:space="preserve">crutiny </w:t>
      </w:r>
      <w:r w:rsidR="00154DFA">
        <w:rPr>
          <w:sz w:val="22"/>
          <w:szCs w:val="22"/>
        </w:rPr>
        <w:t>c</w:t>
      </w:r>
      <w:r w:rsidR="00C8540F" w:rsidRPr="00A70BED">
        <w:rPr>
          <w:sz w:val="22"/>
          <w:szCs w:val="22"/>
        </w:rPr>
        <w:t xml:space="preserve">ommittee </w:t>
      </w:r>
      <w:r w:rsidR="00565A4C">
        <w:rPr>
          <w:sz w:val="22"/>
          <w:szCs w:val="22"/>
        </w:rPr>
        <w:t>and</w:t>
      </w:r>
      <w:r w:rsidR="00C8540F" w:rsidRPr="00A70BED">
        <w:rPr>
          <w:sz w:val="22"/>
          <w:szCs w:val="22"/>
        </w:rPr>
        <w:t xml:space="preserve"> presentations to th</w:t>
      </w:r>
      <w:r w:rsidR="00565A4C">
        <w:rPr>
          <w:sz w:val="22"/>
          <w:szCs w:val="22"/>
        </w:rPr>
        <w:t xml:space="preserve">e other two </w:t>
      </w:r>
      <w:r w:rsidR="00154DFA">
        <w:rPr>
          <w:sz w:val="22"/>
          <w:szCs w:val="22"/>
        </w:rPr>
        <w:t>h</w:t>
      </w:r>
      <w:r w:rsidR="00C8540F" w:rsidRPr="00A70BED">
        <w:rPr>
          <w:sz w:val="22"/>
          <w:szCs w:val="22"/>
        </w:rPr>
        <w:t xml:space="preserve">ealth </w:t>
      </w:r>
      <w:r w:rsidR="00154DFA">
        <w:rPr>
          <w:sz w:val="22"/>
          <w:szCs w:val="22"/>
        </w:rPr>
        <w:t>o</w:t>
      </w:r>
      <w:r w:rsidR="00C8540F" w:rsidRPr="00A70BED">
        <w:rPr>
          <w:sz w:val="22"/>
          <w:szCs w:val="22"/>
        </w:rPr>
        <w:t xml:space="preserve">verview and </w:t>
      </w:r>
      <w:r w:rsidR="00154DFA">
        <w:rPr>
          <w:sz w:val="22"/>
          <w:szCs w:val="22"/>
        </w:rPr>
        <w:t>s</w:t>
      </w:r>
      <w:r w:rsidR="00C8540F" w:rsidRPr="00A70BED">
        <w:rPr>
          <w:sz w:val="22"/>
          <w:szCs w:val="22"/>
        </w:rPr>
        <w:t xml:space="preserve">crutiny </w:t>
      </w:r>
      <w:r w:rsidR="00154DFA">
        <w:rPr>
          <w:sz w:val="22"/>
          <w:szCs w:val="22"/>
        </w:rPr>
        <w:t>committees</w:t>
      </w:r>
      <w:r w:rsidR="00C8540F" w:rsidRPr="00A70BED">
        <w:rPr>
          <w:sz w:val="22"/>
          <w:szCs w:val="22"/>
        </w:rPr>
        <w:t xml:space="preserve"> (HOSCs) </w:t>
      </w:r>
      <w:r w:rsidR="00565A4C" w:rsidRPr="00A70BED">
        <w:rPr>
          <w:sz w:val="22"/>
          <w:szCs w:val="22"/>
        </w:rPr>
        <w:t xml:space="preserve">in </w:t>
      </w:r>
      <w:r w:rsidR="00565A4C">
        <w:rPr>
          <w:sz w:val="22"/>
          <w:szCs w:val="22"/>
        </w:rPr>
        <w:t xml:space="preserve">2015 are </w:t>
      </w:r>
      <w:r w:rsidR="00C8540F" w:rsidRPr="00A70BED">
        <w:rPr>
          <w:sz w:val="22"/>
          <w:szCs w:val="22"/>
        </w:rPr>
        <w:t xml:space="preserve">being taken by UHL as </w:t>
      </w:r>
      <w:r w:rsidR="00F163BD" w:rsidRPr="00A70BED">
        <w:rPr>
          <w:sz w:val="22"/>
          <w:szCs w:val="22"/>
        </w:rPr>
        <w:t xml:space="preserve">sufficient evidence of </w:t>
      </w:r>
      <w:r w:rsidRPr="00A70BED">
        <w:rPr>
          <w:sz w:val="22"/>
          <w:szCs w:val="22"/>
        </w:rPr>
        <w:t>public approval</w:t>
      </w:r>
      <w:r w:rsidR="00F163BD" w:rsidRPr="00A70BED">
        <w:rPr>
          <w:sz w:val="22"/>
          <w:szCs w:val="22"/>
        </w:rPr>
        <w:t xml:space="preserve">.  This is despite the fact that </w:t>
      </w:r>
      <w:r w:rsidR="00C8540F" w:rsidRPr="00A70BED">
        <w:rPr>
          <w:sz w:val="22"/>
          <w:szCs w:val="22"/>
        </w:rPr>
        <w:t xml:space="preserve">the 2015 </w:t>
      </w:r>
      <w:r w:rsidR="00F163BD" w:rsidRPr="00A70BED">
        <w:rPr>
          <w:sz w:val="22"/>
          <w:szCs w:val="22"/>
        </w:rPr>
        <w:t xml:space="preserve">agreement by the HOSCs to proceed was given in a set of </w:t>
      </w:r>
      <w:r w:rsidR="00F163BD" w:rsidRPr="00A70BED">
        <w:rPr>
          <w:sz w:val="22"/>
          <w:szCs w:val="22"/>
        </w:rPr>
        <w:lastRenderedPageBreak/>
        <w:t xml:space="preserve">circumstances </w:t>
      </w:r>
      <w:r w:rsidR="00B3266A" w:rsidRPr="00A70BED">
        <w:rPr>
          <w:sz w:val="22"/>
          <w:szCs w:val="22"/>
        </w:rPr>
        <w:t>that</w:t>
      </w:r>
      <w:r w:rsidR="00F163BD" w:rsidRPr="00A70BED">
        <w:rPr>
          <w:sz w:val="22"/>
          <w:szCs w:val="22"/>
        </w:rPr>
        <w:t xml:space="preserve"> have clearly since changed</w:t>
      </w:r>
      <w:r w:rsidR="00465ADE">
        <w:rPr>
          <w:sz w:val="22"/>
          <w:szCs w:val="22"/>
        </w:rPr>
        <w:t xml:space="preserve"> and the joint HOSC has yet to be consulted</w:t>
      </w:r>
      <w:r w:rsidR="00F163BD" w:rsidRPr="00A70BED">
        <w:rPr>
          <w:sz w:val="22"/>
          <w:szCs w:val="22"/>
        </w:rPr>
        <w:t>.</w:t>
      </w:r>
      <w:r w:rsidRPr="00A70BED">
        <w:rPr>
          <w:sz w:val="22"/>
          <w:szCs w:val="22"/>
        </w:rPr>
        <w:t xml:space="preserve"> </w:t>
      </w:r>
      <w:r w:rsidR="00F163BD" w:rsidRPr="00A70BED">
        <w:rPr>
          <w:sz w:val="22"/>
          <w:szCs w:val="22"/>
        </w:rPr>
        <w:t xml:space="preserve"> </w:t>
      </w:r>
      <w:r w:rsidR="00921267" w:rsidRPr="00A70BED">
        <w:rPr>
          <w:sz w:val="22"/>
          <w:szCs w:val="22"/>
        </w:rPr>
        <w:t xml:space="preserve">UHL has paid </w:t>
      </w:r>
      <w:r w:rsidRPr="00A70BED">
        <w:rPr>
          <w:sz w:val="22"/>
          <w:szCs w:val="22"/>
        </w:rPr>
        <w:t>‘</w:t>
      </w:r>
      <w:r w:rsidR="00921267" w:rsidRPr="00A70BED">
        <w:rPr>
          <w:sz w:val="22"/>
          <w:szCs w:val="22"/>
        </w:rPr>
        <w:t>l</w:t>
      </w:r>
      <w:r w:rsidRPr="00A70BED">
        <w:rPr>
          <w:sz w:val="22"/>
          <w:szCs w:val="22"/>
        </w:rPr>
        <w:t xml:space="preserve">ip service’ to public consultation </w:t>
      </w:r>
      <w:r w:rsidR="00921267" w:rsidRPr="00A70BED">
        <w:rPr>
          <w:sz w:val="22"/>
          <w:szCs w:val="22"/>
        </w:rPr>
        <w:t xml:space="preserve">by consulting </w:t>
      </w:r>
      <w:r w:rsidR="00F163BD" w:rsidRPr="00A70BED">
        <w:rPr>
          <w:sz w:val="22"/>
          <w:szCs w:val="22"/>
        </w:rPr>
        <w:t>a few</w:t>
      </w:r>
      <w:r w:rsidR="00921267" w:rsidRPr="00A70BED">
        <w:rPr>
          <w:sz w:val="22"/>
          <w:szCs w:val="22"/>
        </w:rPr>
        <w:t xml:space="preserve"> patients and a handful of Healthwatch or Patient Partners members.</w:t>
      </w:r>
    </w:p>
    <w:p w14:paraId="73A74EEC" w14:textId="77777777" w:rsidR="00C8540F" w:rsidRPr="00A70BED" w:rsidRDefault="00C8540F" w:rsidP="00507361">
      <w:pPr>
        <w:spacing w:line="360" w:lineRule="auto"/>
        <w:rPr>
          <w:sz w:val="22"/>
          <w:szCs w:val="22"/>
          <w:u w:val="single"/>
        </w:rPr>
      </w:pPr>
    </w:p>
    <w:p w14:paraId="748BA583" w14:textId="77777777" w:rsidR="00C8540F" w:rsidRDefault="00C8540F" w:rsidP="00507361">
      <w:pPr>
        <w:pStyle w:val="ListParagraph"/>
        <w:numPr>
          <w:ilvl w:val="0"/>
          <w:numId w:val="18"/>
        </w:numPr>
        <w:spacing w:line="360" w:lineRule="auto"/>
        <w:rPr>
          <w:sz w:val="22"/>
          <w:szCs w:val="22"/>
        </w:rPr>
      </w:pPr>
      <w:r w:rsidRPr="00A70BED">
        <w:rPr>
          <w:sz w:val="22"/>
          <w:szCs w:val="22"/>
        </w:rPr>
        <w:t>This FBC clearly fails to meet the UHL stated goals of:</w:t>
      </w:r>
    </w:p>
    <w:p w14:paraId="3A7D5F9D" w14:textId="77777777" w:rsidR="00661BBA" w:rsidRPr="00661BBA" w:rsidRDefault="00661BBA" w:rsidP="00507361">
      <w:pPr>
        <w:spacing w:line="360" w:lineRule="auto"/>
        <w:rPr>
          <w:sz w:val="22"/>
          <w:szCs w:val="22"/>
        </w:rPr>
      </w:pPr>
    </w:p>
    <w:p w14:paraId="7F7EB43C" w14:textId="6FC2584A" w:rsidR="00C8540F" w:rsidRPr="00661BBA" w:rsidRDefault="00C8540F" w:rsidP="00507361">
      <w:pPr>
        <w:pStyle w:val="ListParagraph"/>
        <w:numPr>
          <w:ilvl w:val="3"/>
          <w:numId w:val="26"/>
        </w:numPr>
        <w:spacing w:line="360" w:lineRule="auto"/>
        <w:rPr>
          <w:rFonts w:ascii="MS Reference Specialty" w:hAnsi="MS Reference Specialty" w:cs="MS Reference Specialty"/>
          <w:sz w:val="22"/>
          <w:szCs w:val="22"/>
        </w:rPr>
      </w:pPr>
      <w:r w:rsidRPr="00661BBA">
        <w:rPr>
          <w:sz w:val="22"/>
          <w:szCs w:val="22"/>
        </w:rPr>
        <w:t>reduce unnecessary patient journeys</w:t>
      </w:r>
    </w:p>
    <w:p w14:paraId="3AD56EF6" w14:textId="14328C4C" w:rsidR="00C8540F" w:rsidRPr="00661BBA" w:rsidRDefault="00C8540F" w:rsidP="00507361">
      <w:pPr>
        <w:pStyle w:val="ListParagraph"/>
        <w:numPr>
          <w:ilvl w:val="3"/>
          <w:numId w:val="26"/>
        </w:numPr>
        <w:spacing w:line="360" w:lineRule="auto"/>
        <w:rPr>
          <w:rFonts w:ascii="MS Reference Specialty" w:hAnsi="MS Reference Specialty" w:cs="MS Reference Specialty"/>
          <w:sz w:val="22"/>
          <w:szCs w:val="22"/>
        </w:rPr>
      </w:pPr>
      <w:r w:rsidRPr="00661BBA">
        <w:rPr>
          <w:sz w:val="22"/>
          <w:szCs w:val="22"/>
        </w:rPr>
        <w:t>improve clinical adjacencies</w:t>
      </w:r>
    </w:p>
    <w:p w14:paraId="4D20C957" w14:textId="492D3BF2" w:rsidR="00C8540F" w:rsidRPr="00661BBA" w:rsidRDefault="00C8540F" w:rsidP="00507361">
      <w:pPr>
        <w:pStyle w:val="ListParagraph"/>
        <w:numPr>
          <w:ilvl w:val="3"/>
          <w:numId w:val="26"/>
        </w:numPr>
        <w:spacing w:line="360" w:lineRule="auto"/>
        <w:rPr>
          <w:sz w:val="22"/>
          <w:szCs w:val="22"/>
        </w:rPr>
      </w:pPr>
      <w:r w:rsidRPr="00661BBA">
        <w:rPr>
          <w:sz w:val="22"/>
          <w:szCs w:val="22"/>
        </w:rPr>
        <w:t>provide quicker, navigable, quality services.</w:t>
      </w:r>
    </w:p>
    <w:p w14:paraId="0EFEAA2C" w14:textId="77777777" w:rsidR="00100C32" w:rsidRPr="00A70BED" w:rsidRDefault="00100C32" w:rsidP="00507361">
      <w:pPr>
        <w:spacing w:line="360" w:lineRule="auto"/>
        <w:rPr>
          <w:sz w:val="22"/>
          <w:szCs w:val="22"/>
        </w:rPr>
      </w:pPr>
    </w:p>
    <w:p w14:paraId="474D1ABB" w14:textId="748D81F4" w:rsidR="00100C32" w:rsidRDefault="00A178C8" w:rsidP="00507361">
      <w:pPr>
        <w:pStyle w:val="ListParagraph"/>
        <w:numPr>
          <w:ilvl w:val="0"/>
          <w:numId w:val="18"/>
        </w:numPr>
        <w:spacing w:line="360" w:lineRule="auto"/>
        <w:rPr>
          <w:sz w:val="22"/>
          <w:szCs w:val="22"/>
        </w:rPr>
      </w:pPr>
      <w:r w:rsidRPr="00A70BED">
        <w:rPr>
          <w:sz w:val="22"/>
          <w:szCs w:val="22"/>
        </w:rPr>
        <w:t>Three clinical services, renal transplant,</w:t>
      </w:r>
      <w:r w:rsidR="00D5440C" w:rsidRPr="00A70BED">
        <w:rPr>
          <w:sz w:val="22"/>
          <w:szCs w:val="22"/>
        </w:rPr>
        <w:t xml:space="preserve"> hepato-pancreato-biliary </w:t>
      </w:r>
      <w:r w:rsidR="00100C32" w:rsidRPr="00A70BED">
        <w:rPr>
          <w:sz w:val="22"/>
          <w:szCs w:val="22"/>
        </w:rPr>
        <w:t>and urology</w:t>
      </w:r>
      <w:r w:rsidR="00565A4C">
        <w:rPr>
          <w:sz w:val="22"/>
          <w:szCs w:val="22"/>
        </w:rPr>
        <w:t>,</w:t>
      </w:r>
      <w:r w:rsidR="00100C32" w:rsidRPr="00A70BED">
        <w:rPr>
          <w:sz w:val="22"/>
          <w:szCs w:val="22"/>
        </w:rPr>
        <w:t xml:space="preserve"> are going to be split across two sites for an indefinite time.  Th</w:t>
      </w:r>
      <w:r w:rsidR="00D5440C" w:rsidRPr="00A70BED">
        <w:rPr>
          <w:sz w:val="22"/>
          <w:szCs w:val="22"/>
        </w:rPr>
        <w:t>ere is a danger that this</w:t>
      </w:r>
      <w:r w:rsidR="00100C32" w:rsidRPr="00A70BED">
        <w:rPr>
          <w:sz w:val="22"/>
          <w:szCs w:val="22"/>
        </w:rPr>
        <w:t xml:space="preserve"> will cause discontinuities</w:t>
      </w:r>
      <w:r w:rsidR="00D5440C" w:rsidRPr="00A70BED">
        <w:rPr>
          <w:sz w:val="22"/>
          <w:szCs w:val="22"/>
        </w:rPr>
        <w:t xml:space="preserve"> in services</w:t>
      </w:r>
      <w:r w:rsidR="00100C32" w:rsidRPr="00A70BED">
        <w:rPr>
          <w:sz w:val="22"/>
          <w:szCs w:val="22"/>
        </w:rPr>
        <w:t xml:space="preserve">, </w:t>
      </w:r>
      <w:r w:rsidR="006C6271" w:rsidRPr="00A70BED">
        <w:rPr>
          <w:sz w:val="22"/>
          <w:szCs w:val="22"/>
        </w:rPr>
        <w:t xml:space="preserve">staff and patient </w:t>
      </w:r>
      <w:r w:rsidR="00100C32" w:rsidRPr="00A70BED">
        <w:rPr>
          <w:sz w:val="22"/>
          <w:szCs w:val="22"/>
        </w:rPr>
        <w:t>inconvenience, complicated logistics and impaired patient satisfaction and possible clinical risks.</w:t>
      </w:r>
    </w:p>
    <w:p w14:paraId="511F82A0" w14:textId="77777777" w:rsidR="00465ADE" w:rsidRPr="00661BBA" w:rsidRDefault="00465ADE" w:rsidP="00507361">
      <w:pPr>
        <w:pStyle w:val="ListParagraph"/>
        <w:spacing w:line="360" w:lineRule="auto"/>
        <w:ind w:left="624"/>
        <w:rPr>
          <w:sz w:val="22"/>
          <w:szCs w:val="22"/>
        </w:rPr>
      </w:pPr>
    </w:p>
    <w:p w14:paraId="6CA9BC98" w14:textId="15EA1B21" w:rsidR="00154DFA" w:rsidRDefault="00100C32" w:rsidP="00507361">
      <w:pPr>
        <w:pStyle w:val="ListParagraph"/>
        <w:numPr>
          <w:ilvl w:val="0"/>
          <w:numId w:val="18"/>
        </w:numPr>
        <w:spacing w:line="360" w:lineRule="auto"/>
        <w:rPr>
          <w:sz w:val="22"/>
          <w:szCs w:val="22"/>
        </w:rPr>
      </w:pPr>
      <w:r w:rsidRPr="00A70BED">
        <w:rPr>
          <w:sz w:val="22"/>
          <w:szCs w:val="22"/>
        </w:rPr>
        <w:t>The plans</w:t>
      </w:r>
      <w:r w:rsidR="003F6EA3" w:rsidRPr="00A70BED">
        <w:rPr>
          <w:sz w:val="22"/>
          <w:szCs w:val="22"/>
        </w:rPr>
        <w:t>, involving-new build</w:t>
      </w:r>
      <w:r w:rsidRPr="00A70BED">
        <w:rPr>
          <w:sz w:val="22"/>
          <w:szCs w:val="22"/>
        </w:rPr>
        <w:t xml:space="preserve"> </w:t>
      </w:r>
      <w:r w:rsidR="003F6EA3" w:rsidRPr="00A70BED">
        <w:rPr>
          <w:sz w:val="22"/>
          <w:szCs w:val="22"/>
        </w:rPr>
        <w:t xml:space="preserve">wards, </w:t>
      </w:r>
      <w:r w:rsidR="00154DFA">
        <w:rPr>
          <w:sz w:val="22"/>
          <w:szCs w:val="22"/>
        </w:rPr>
        <w:t>fail to meet</w:t>
      </w:r>
      <w:r w:rsidRPr="00A70BED">
        <w:rPr>
          <w:sz w:val="22"/>
          <w:szCs w:val="22"/>
        </w:rPr>
        <w:t xml:space="preserve"> recommended hospital building standards </w:t>
      </w:r>
      <w:r w:rsidR="00154DFA">
        <w:rPr>
          <w:sz w:val="22"/>
          <w:szCs w:val="22"/>
        </w:rPr>
        <w:t xml:space="preserve">in a number of respects </w:t>
      </w:r>
      <w:r w:rsidRPr="00A70BED">
        <w:rPr>
          <w:sz w:val="22"/>
          <w:szCs w:val="22"/>
        </w:rPr>
        <w:t>a</w:t>
      </w:r>
      <w:r w:rsidR="006C6271" w:rsidRPr="00A70BED">
        <w:rPr>
          <w:sz w:val="22"/>
          <w:szCs w:val="22"/>
        </w:rPr>
        <w:t>nd</w:t>
      </w:r>
      <w:r w:rsidR="00154DFA">
        <w:rPr>
          <w:sz w:val="22"/>
          <w:szCs w:val="22"/>
        </w:rPr>
        <w:t xml:space="preserve"> this</w:t>
      </w:r>
      <w:r w:rsidR="006C6271" w:rsidRPr="00A70BED">
        <w:rPr>
          <w:sz w:val="22"/>
          <w:szCs w:val="22"/>
        </w:rPr>
        <w:t xml:space="preserve"> raises doubts about the long-</w:t>
      </w:r>
      <w:r w:rsidRPr="00A70BED">
        <w:rPr>
          <w:sz w:val="22"/>
          <w:szCs w:val="22"/>
        </w:rPr>
        <w:t xml:space="preserve">term </w:t>
      </w:r>
      <w:r w:rsidR="006C6271" w:rsidRPr="00A70BED">
        <w:rPr>
          <w:sz w:val="22"/>
          <w:szCs w:val="22"/>
        </w:rPr>
        <w:t xml:space="preserve">fitness for purpose </w:t>
      </w:r>
      <w:r w:rsidRPr="00A70BED">
        <w:rPr>
          <w:sz w:val="22"/>
          <w:szCs w:val="22"/>
        </w:rPr>
        <w:t>of the buildings</w:t>
      </w:r>
      <w:r w:rsidR="006C6271" w:rsidRPr="00A70BED">
        <w:rPr>
          <w:sz w:val="22"/>
          <w:szCs w:val="22"/>
        </w:rPr>
        <w:t>.</w:t>
      </w:r>
      <w:r w:rsidR="007F2275" w:rsidRPr="00A70BED">
        <w:rPr>
          <w:sz w:val="22"/>
          <w:szCs w:val="22"/>
        </w:rPr>
        <w:t xml:space="preserve">  These deviations appear to hav</w:t>
      </w:r>
      <w:r w:rsidR="003F6EA3" w:rsidRPr="00A70BED">
        <w:rPr>
          <w:sz w:val="22"/>
          <w:szCs w:val="22"/>
        </w:rPr>
        <w:t>e resulted from UHL’s position of having insufficient space</w:t>
      </w:r>
      <w:r w:rsidR="00A7383B" w:rsidRPr="00A70BED">
        <w:rPr>
          <w:sz w:val="22"/>
          <w:szCs w:val="22"/>
        </w:rPr>
        <w:t xml:space="preserve"> to</w:t>
      </w:r>
      <w:r w:rsidR="003F6EA3" w:rsidRPr="00A70BED">
        <w:rPr>
          <w:sz w:val="22"/>
          <w:szCs w:val="22"/>
        </w:rPr>
        <w:t xml:space="preserve"> meet the required standards</w:t>
      </w:r>
      <w:r w:rsidR="00AB705B">
        <w:rPr>
          <w:sz w:val="22"/>
          <w:szCs w:val="22"/>
        </w:rPr>
        <w:t xml:space="preserve"> </w:t>
      </w:r>
      <w:r w:rsidR="00154DFA">
        <w:rPr>
          <w:sz w:val="22"/>
          <w:szCs w:val="22"/>
        </w:rPr>
        <w:t>since</w:t>
      </w:r>
      <w:r w:rsidR="00AB705B">
        <w:rPr>
          <w:sz w:val="22"/>
          <w:szCs w:val="22"/>
        </w:rPr>
        <w:t xml:space="preserve"> the proposal </w:t>
      </w:r>
      <w:r w:rsidR="00154DFA">
        <w:rPr>
          <w:sz w:val="22"/>
          <w:szCs w:val="22"/>
        </w:rPr>
        <w:t xml:space="preserve">is </w:t>
      </w:r>
      <w:r w:rsidR="00AB705B">
        <w:rPr>
          <w:sz w:val="22"/>
          <w:szCs w:val="22"/>
        </w:rPr>
        <w:t>to build on top of existing buildings</w:t>
      </w:r>
      <w:r w:rsidR="00465ADE">
        <w:rPr>
          <w:sz w:val="22"/>
          <w:szCs w:val="22"/>
        </w:rPr>
        <w:t xml:space="preserve"> rather than on land which they wish to sell off</w:t>
      </w:r>
      <w:r w:rsidR="003F6EA3" w:rsidRPr="00A70BED">
        <w:rPr>
          <w:sz w:val="22"/>
          <w:szCs w:val="22"/>
        </w:rPr>
        <w:t xml:space="preserve">. </w:t>
      </w:r>
      <w:r w:rsidR="007F2275" w:rsidRPr="00A70BED">
        <w:rPr>
          <w:sz w:val="22"/>
          <w:szCs w:val="22"/>
        </w:rPr>
        <w:t xml:space="preserve"> There may be further deviations or </w:t>
      </w:r>
      <w:r w:rsidR="00154DFA">
        <w:rPr>
          <w:sz w:val="22"/>
          <w:szCs w:val="22"/>
        </w:rPr>
        <w:t xml:space="preserve">associated </w:t>
      </w:r>
      <w:r w:rsidR="007F2275" w:rsidRPr="00A70BED">
        <w:rPr>
          <w:sz w:val="22"/>
          <w:szCs w:val="22"/>
        </w:rPr>
        <w:t xml:space="preserve">problems in the appendices to the </w:t>
      </w:r>
      <w:r w:rsidR="00603E9D" w:rsidRPr="00A70BED">
        <w:rPr>
          <w:sz w:val="22"/>
          <w:szCs w:val="22"/>
        </w:rPr>
        <w:t>FBC</w:t>
      </w:r>
      <w:r w:rsidR="00154DFA">
        <w:rPr>
          <w:sz w:val="22"/>
          <w:szCs w:val="22"/>
        </w:rPr>
        <w:t xml:space="preserve"> but these</w:t>
      </w:r>
      <w:r w:rsidR="007F2275" w:rsidRPr="00A70BED">
        <w:rPr>
          <w:sz w:val="22"/>
          <w:szCs w:val="22"/>
        </w:rPr>
        <w:t xml:space="preserve"> are not in the public domain</w:t>
      </w:r>
      <w:r w:rsidR="00603E9D" w:rsidRPr="00A70BED">
        <w:rPr>
          <w:sz w:val="22"/>
          <w:szCs w:val="22"/>
        </w:rPr>
        <w:t xml:space="preserve">.  </w:t>
      </w:r>
    </w:p>
    <w:p w14:paraId="2924A586" w14:textId="77777777" w:rsidR="00154DFA" w:rsidRPr="00465ADE" w:rsidRDefault="00154DFA" w:rsidP="00507361">
      <w:pPr>
        <w:spacing w:line="360" w:lineRule="auto"/>
        <w:ind w:left="568"/>
        <w:rPr>
          <w:sz w:val="22"/>
          <w:szCs w:val="22"/>
        </w:rPr>
      </w:pPr>
    </w:p>
    <w:p w14:paraId="6FC08221" w14:textId="46B50243" w:rsidR="00100C32" w:rsidRPr="00A70BED" w:rsidRDefault="00A7383B" w:rsidP="00507361">
      <w:pPr>
        <w:pStyle w:val="ListParagraph"/>
        <w:numPr>
          <w:ilvl w:val="0"/>
          <w:numId w:val="18"/>
        </w:numPr>
        <w:spacing w:line="360" w:lineRule="auto"/>
        <w:rPr>
          <w:sz w:val="22"/>
          <w:szCs w:val="22"/>
        </w:rPr>
      </w:pPr>
      <w:r w:rsidRPr="00A70BED">
        <w:rPr>
          <w:sz w:val="22"/>
          <w:szCs w:val="22"/>
        </w:rPr>
        <w:t xml:space="preserve">There has been no public consultation or clarity of detail in the proposals to </w:t>
      </w:r>
      <w:r w:rsidR="00AB705B">
        <w:rPr>
          <w:sz w:val="22"/>
          <w:szCs w:val="22"/>
        </w:rPr>
        <w:t>sell of Estate land for housing; especially considering that this land could be utilised for buildings which will meet building recommendations.</w:t>
      </w:r>
    </w:p>
    <w:p w14:paraId="1323044D" w14:textId="77777777" w:rsidR="006C6271" w:rsidRPr="00A70BED" w:rsidRDefault="006C6271" w:rsidP="00507361">
      <w:pPr>
        <w:spacing w:line="360" w:lineRule="auto"/>
        <w:rPr>
          <w:sz w:val="22"/>
          <w:szCs w:val="22"/>
        </w:rPr>
      </w:pPr>
    </w:p>
    <w:p w14:paraId="5E2D91B3" w14:textId="40864F48" w:rsidR="00100C32" w:rsidRPr="00A70BED" w:rsidRDefault="006C6271" w:rsidP="00507361">
      <w:pPr>
        <w:pStyle w:val="ListParagraph"/>
        <w:numPr>
          <w:ilvl w:val="0"/>
          <w:numId w:val="18"/>
        </w:numPr>
        <w:spacing w:line="360" w:lineRule="auto"/>
        <w:rPr>
          <w:sz w:val="22"/>
          <w:szCs w:val="22"/>
        </w:rPr>
      </w:pPr>
      <w:r w:rsidRPr="00A70BED">
        <w:rPr>
          <w:sz w:val="22"/>
          <w:szCs w:val="22"/>
        </w:rPr>
        <w:t>The FBC appears to overlook the impact of potential staff pay rises.  It does not consider</w:t>
      </w:r>
      <w:r w:rsidR="00A7383B" w:rsidRPr="00A70BED">
        <w:rPr>
          <w:sz w:val="22"/>
          <w:szCs w:val="22"/>
        </w:rPr>
        <w:t xml:space="preserve"> loss of staff due to increased travel</w:t>
      </w:r>
      <w:r w:rsidR="007F2275" w:rsidRPr="00A70BED">
        <w:rPr>
          <w:sz w:val="22"/>
          <w:szCs w:val="22"/>
        </w:rPr>
        <w:t xml:space="preserve"> costs and</w:t>
      </w:r>
      <w:r w:rsidR="00A7383B" w:rsidRPr="00A70BED">
        <w:rPr>
          <w:sz w:val="22"/>
          <w:szCs w:val="22"/>
        </w:rPr>
        <w:t>/or</w:t>
      </w:r>
      <w:r w:rsidR="007F2275" w:rsidRPr="00A70BED">
        <w:rPr>
          <w:sz w:val="22"/>
          <w:szCs w:val="22"/>
        </w:rPr>
        <w:t xml:space="preserve"> transport difficulties.</w:t>
      </w:r>
    </w:p>
    <w:p w14:paraId="65E59DFC" w14:textId="77777777" w:rsidR="007F2275" w:rsidRPr="00A70BED" w:rsidRDefault="007F2275" w:rsidP="00507361">
      <w:pPr>
        <w:spacing w:line="360" w:lineRule="auto"/>
        <w:rPr>
          <w:sz w:val="22"/>
          <w:szCs w:val="22"/>
        </w:rPr>
      </w:pPr>
    </w:p>
    <w:p w14:paraId="1458B425" w14:textId="5BA5D7F8" w:rsidR="002B47CC" w:rsidRDefault="00A7383B" w:rsidP="00507361">
      <w:pPr>
        <w:spacing w:line="360" w:lineRule="auto"/>
        <w:rPr>
          <w:sz w:val="22"/>
          <w:szCs w:val="22"/>
        </w:rPr>
      </w:pPr>
      <w:r w:rsidRPr="00A70BED">
        <w:rPr>
          <w:sz w:val="22"/>
          <w:szCs w:val="22"/>
        </w:rPr>
        <w:t>A</w:t>
      </w:r>
      <w:r w:rsidR="00100C32" w:rsidRPr="00A70BED">
        <w:rPr>
          <w:sz w:val="22"/>
          <w:szCs w:val="22"/>
        </w:rPr>
        <w:t xml:space="preserve">lthough our list of concerns is not an exhaustive appraisal of the FBC, it is, we suggest, sufficiently wide-ranging and detailed to alert to the risks of not properly consulting the public.  Such a public consultation would draw in professionals, patients and their families with different skill sets who could equally well offer useful </w:t>
      </w:r>
      <w:r w:rsidR="00100C32" w:rsidRPr="00A70BED">
        <w:rPr>
          <w:sz w:val="22"/>
          <w:szCs w:val="22"/>
        </w:rPr>
        <w:lastRenderedPageBreak/>
        <w:t xml:space="preserve">comments and concerns about parts of the FBC </w:t>
      </w:r>
      <w:r w:rsidRPr="00A70BED">
        <w:rPr>
          <w:sz w:val="22"/>
          <w:szCs w:val="22"/>
        </w:rPr>
        <w:t>that</w:t>
      </w:r>
      <w:r w:rsidR="00100C32" w:rsidRPr="00A70BED">
        <w:rPr>
          <w:sz w:val="22"/>
          <w:szCs w:val="22"/>
        </w:rPr>
        <w:t xml:space="preserve"> are beyond our own knowledge and skills.  It w</w:t>
      </w:r>
      <w:r w:rsidR="00D5440C" w:rsidRPr="00A70BED">
        <w:rPr>
          <w:sz w:val="22"/>
          <w:szCs w:val="22"/>
        </w:rPr>
        <w:t xml:space="preserve">ould </w:t>
      </w:r>
      <w:r w:rsidR="00100C32" w:rsidRPr="00A70BED">
        <w:rPr>
          <w:sz w:val="22"/>
          <w:szCs w:val="22"/>
        </w:rPr>
        <w:t>be more cost-effective to rectify errors and omissions at this stage than later, when patients have moved onto the wards.</w:t>
      </w:r>
      <w:r w:rsidR="00D5440C" w:rsidRPr="00A70BED">
        <w:rPr>
          <w:sz w:val="22"/>
          <w:szCs w:val="22"/>
        </w:rPr>
        <w:t xml:space="preserve">  A formal public consultation would also identify other concerns residents in Leicester, Leicestershire and Rutland may have about the proposed changes to their services.</w:t>
      </w:r>
    </w:p>
    <w:p w14:paraId="62B746B3" w14:textId="77777777" w:rsidR="00507361" w:rsidRDefault="00507361" w:rsidP="00507361">
      <w:pPr>
        <w:spacing w:line="360" w:lineRule="auto"/>
        <w:rPr>
          <w:b/>
          <w:sz w:val="22"/>
          <w:szCs w:val="22"/>
        </w:rPr>
      </w:pPr>
    </w:p>
    <w:p w14:paraId="3D8DB1AF" w14:textId="7FE64E6D" w:rsidR="002B47CC" w:rsidRPr="00465ADE" w:rsidRDefault="002B47CC" w:rsidP="00507361">
      <w:pPr>
        <w:spacing w:line="360" w:lineRule="auto"/>
        <w:rPr>
          <w:b/>
          <w:sz w:val="22"/>
          <w:szCs w:val="22"/>
        </w:rPr>
      </w:pPr>
      <w:r w:rsidRPr="00465ADE">
        <w:rPr>
          <w:b/>
          <w:sz w:val="22"/>
          <w:szCs w:val="22"/>
        </w:rPr>
        <w:t>7.Recommendation</w:t>
      </w:r>
    </w:p>
    <w:p w14:paraId="624806A4" w14:textId="77777777" w:rsidR="00465ADE" w:rsidRDefault="00465ADE" w:rsidP="00507361">
      <w:pPr>
        <w:spacing w:line="360" w:lineRule="auto"/>
        <w:rPr>
          <w:sz w:val="22"/>
          <w:szCs w:val="22"/>
        </w:rPr>
      </w:pPr>
    </w:p>
    <w:p w14:paraId="000A997B" w14:textId="04C11F86" w:rsidR="00154DFA" w:rsidRPr="00154DFA" w:rsidRDefault="00154DFA" w:rsidP="00507361">
      <w:pPr>
        <w:spacing w:line="360" w:lineRule="auto"/>
        <w:rPr>
          <w:sz w:val="22"/>
          <w:szCs w:val="22"/>
        </w:rPr>
      </w:pPr>
      <w:r w:rsidRPr="00154DFA">
        <w:rPr>
          <w:sz w:val="22"/>
          <w:szCs w:val="22"/>
        </w:rPr>
        <w:t>We recommend that the proposals</w:t>
      </w:r>
      <w:r w:rsidR="002B47CC">
        <w:rPr>
          <w:sz w:val="22"/>
          <w:szCs w:val="22"/>
        </w:rPr>
        <w:t>, which include not only a major change in service delivery but also the sale of NHS land on a site where expansion is anticipated,</w:t>
      </w:r>
      <w:r w:rsidRPr="00154DFA">
        <w:rPr>
          <w:sz w:val="22"/>
          <w:szCs w:val="22"/>
        </w:rPr>
        <w:t xml:space="preserve"> should be</w:t>
      </w:r>
      <w:r w:rsidR="005A769F">
        <w:rPr>
          <w:sz w:val="22"/>
          <w:szCs w:val="22"/>
        </w:rPr>
        <w:t xml:space="preserve"> formally considered by the joint health scrutiny body for Leicester, Leicestershire and Rutland and should be </w:t>
      </w:r>
      <w:r w:rsidRPr="00154DFA">
        <w:rPr>
          <w:sz w:val="22"/>
          <w:szCs w:val="22"/>
        </w:rPr>
        <w:t>subject to full public consultation.</w:t>
      </w:r>
    </w:p>
    <w:p w14:paraId="16455A29" w14:textId="77777777" w:rsidR="007B6A40" w:rsidRDefault="007B6A40" w:rsidP="00507361">
      <w:pPr>
        <w:spacing w:line="360" w:lineRule="auto"/>
        <w:rPr>
          <w:sz w:val="22"/>
          <w:szCs w:val="22"/>
        </w:rPr>
      </w:pPr>
    </w:p>
    <w:p w14:paraId="4A685D6E" w14:textId="77777777" w:rsidR="002C0512" w:rsidRPr="00A70BED" w:rsidRDefault="002C0512" w:rsidP="002C0512">
      <w:pPr>
        <w:rPr>
          <w:sz w:val="22"/>
          <w:szCs w:val="22"/>
        </w:rPr>
      </w:pPr>
    </w:p>
    <w:p w14:paraId="4C1C5181" w14:textId="4175761A" w:rsidR="00271481" w:rsidRDefault="002B47CC" w:rsidP="00661BBA">
      <w:pPr>
        <w:rPr>
          <w:sz w:val="22"/>
          <w:szCs w:val="22"/>
          <w:u w:val="single"/>
        </w:rPr>
      </w:pPr>
      <w:r w:rsidRPr="007335DE">
        <w:rPr>
          <w:b/>
          <w:sz w:val="22"/>
          <w:szCs w:val="22"/>
        </w:rPr>
        <w:t>Address for correspondence</w:t>
      </w:r>
      <w:r>
        <w:rPr>
          <w:b/>
          <w:sz w:val="22"/>
          <w:szCs w:val="22"/>
        </w:rPr>
        <w:t>:</w:t>
      </w:r>
      <w:r w:rsidR="004B2EC4">
        <w:rPr>
          <w:b/>
          <w:sz w:val="22"/>
          <w:szCs w:val="22"/>
        </w:rPr>
        <w:t xml:space="preserve"> </w:t>
      </w:r>
      <w:r w:rsidR="00FD55E9" w:rsidRPr="004B2EC4">
        <w:rPr>
          <w:sz w:val="22"/>
          <w:szCs w:val="22"/>
        </w:rPr>
        <w:t>janet.underwood@dmu.ac.uk</w:t>
      </w:r>
    </w:p>
    <w:p w14:paraId="756F9DDF" w14:textId="77777777" w:rsidR="00271481" w:rsidRDefault="00271481" w:rsidP="00661BBA">
      <w:pPr>
        <w:rPr>
          <w:sz w:val="22"/>
          <w:szCs w:val="22"/>
          <w:u w:val="single"/>
        </w:rPr>
      </w:pPr>
    </w:p>
    <w:p w14:paraId="2C201BFE" w14:textId="77777777" w:rsidR="00507361" w:rsidRDefault="00507361" w:rsidP="00661BBA">
      <w:pPr>
        <w:rPr>
          <w:sz w:val="22"/>
          <w:szCs w:val="22"/>
          <w:u w:val="single"/>
        </w:rPr>
      </w:pPr>
    </w:p>
    <w:p w14:paraId="66DEA661" w14:textId="77777777" w:rsidR="00507361" w:rsidRDefault="00507361" w:rsidP="00661BBA">
      <w:pPr>
        <w:rPr>
          <w:sz w:val="22"/>
          <w:szCs w:val="22"/>
          <w:u w:val="single"/>
        </w:rPr>
      </w:pPr>
    </w:p>
    <w:p w14:paraId="74455A68" w14:textId="35FE5D65" w:rsidR="007113FC" w:rsidRDefault="007113FC" w:rsidP="00661BBA">
      <w:pPr>
        <w:rPr>
          <w:sz w:val="22"/>
          <w:szCs w:val="22"/>
          <w:u w:val="single"/>
        </w:rPr>
      </w:pPr>
      <w:r w:rsidRPr="00A70BED">
        <w:rPr>
          <w:sz w:val="22"/>
          <w:szCs w:val="22"/>
          <w:u w:val="single"/>
        </w:rPr>
        <w:t>References</w:t>
      </w:r>
      <w:r w:rsidR="00661BBA">
        <w:rPr>
          <w:sz w:val="22"/>
          <w:szCs w:val="22"/>
          <w:u w:val="single"/>
        </w:rPr>
        <w:t xml:space="preserve"> </w:t>
      </w:r>
    </w:p>
    <w:p w14:paraId="65A0F571" w14:textId="77777777" w:rsidR="00D86436" w:rsidRDefault="00D86436" w:rsidP="00661BBA">
      <w:pPr>
        <w:rPr>
          <w:sz w:val="22"/>
          <w:szCs w:val="22"/>
          <w:u w:val="single"/>
        </w:rPr>
      </w:pPr>
    </w:p>
    <w:p w14:paraId="6AF4DA12" w14:textId="06588651" w:rsidR="00D86436" w:rsidRPr="00E33FCA" w:rsidRDefault="00D86436" w:rsidP="00661BBA">
      <w:pPr>
        <w:rPr>
          <w:sz w:val="22"/>
          <w:szCs w:val="22"/>
        </w:rPr>
      </w:pPr>
      <w:r w:rsidRPr="00E33FCA">
        <w:rPr>
          <w:sz w:val="22"/>
          <w:szCs w:val="22"/>
        </w:rPr>
        <w:t xml:space="preserve">BBC News (8/6/18)  </w:t>
      </w:r>
      <w:r w:rsidRPr="00E33FCA">
        <w:rPr>
          <w:i/>
          <w:sz w:val="22"/>
          <w:szCs w:val="22"/>
        </w:rPr>
        <w:t xml:space="preserve">NHS staff vote for 6.5% pay deal.  </w:t>
      </w:r>
      <w:r w:rsidRPr="00E33FCA">
        <w:rPr>
          <w:sz w:val="22"/>
          <w:szCs w:val="22"/>
        </w:rPr>
        <w:t>Retrieved from https://www.bbc.co.uk/news/health-44413436</w:t>
      </w:r>
    </w:p>
    <w:p w14:paraId="0149A5BB" w14:textId="77777777" w:rsidR="006304D7" w:rsidRPr="00A70BED" w:rsidRDefault="006304D7" w:rsidP="002C0512">
      <w:pPr>
        <w:rPr>
          <w:sz w:val="22"/>
          <w:szCs w:val="22"/>
          <w:u w:val="single"/>
        </w:rPr>
      </w:pPr>
    </w:p>
    <w:p w14:paraId="016797C2" w14:textId="50A5834F" w:rsidR="006304D7" w:rsidRPr="00A70BED" w:rsidRDefault="006304D7" w:rsidP="002C0512">
      <w:pPr>
        <w:rPr>
          <w:sz w:val="22"/>
          <w:szCs w:val="22"/>
        </w:rPr>
      </w:pPr>
      <w:r w:rsidRPr="00A70BED">
        <w:rPr>
          <w:sz w:val="22"/>
          <w:szCs w:val="22"/>
        </w:rPr>
        <w:t xml:space="preserve">Department of Health (2013) </w:t>
      </w:r>
      <w:r w:rsidRPr="00A70BED">
        <w:rPr>
          <w:i/>
          <w:sz w:val="22"/>
          <w:szCs w:val="22"/>
        </w:rPr>
        <w:t xml:space="preserve">Health Building Note 04.01. Adult in-patient facilities. </w:t>
      </w:r>
      <w:r w:rsidRPr="00A70BED">
        <w:rPr>
          <w:sz w:val="22"/>
          <w:szCs w:val="22"/>
        </w:rPr>
        <w:t>Retrieved from https://assets.publishing.service.gov.uk/government/uploads/system/uploads/attachment_data/file/148502/HBN_04-01_Final.pdf</w:t>
      </w:r>
    </w:p>
    <w:p w14:paraId="2ACF0CBA" w14:textId="77777777" w:rsidR="008768A5" w:rsidRPr="00A70BED" w:rsidRDefault="008768A5" w:rsidP="002C0512">
      <w:pPr>
        <w:rPr>
          <w:sz w:val="22"/>
          <w:szCs w:val="22"/>
          <w:u w:val="single"/>
        </w:rPr>
      </w:pPr>
    </w:p>
    <w:p w14:paraId="6427F69D" w14:textId="61AFC42D" w:rsidR="008768A5" w:rsidRPr="00A70BED" w:rsidRDefault="008768A5" w:rsidP="002C0512">
      <w:pPr>
        <w:rPr>
          <w:sz w:val="22"/>
          <w:szCs w:val="22"/>
        </w:rPr>
      </w:pPr>
      <w:r w:rsidRPr="00A70BED">
        <w:rPr>
          <w:sz w:val="22"/>
          <w:szCs w:val="22"/>
        </w:rPr>
        <w:t xml:space="preserve">Department of Health (2014) </w:t>
      </w:r>
      <w:r w:rsidRPr="00A70BED">
        <w:rPr>
          <w:i/>
          <w:sz w:val="22"/>
          <w:szCs w:val="22"/>
        </w:rPr>
        <w:t>Local authority health scrutiny: Guidance to support local authorities and their partners to deliver effective health scrutiny.</w:t>
      </w:r>
      <w:r w:rsidRPr="00A70BED">
        <w:rPr>
          <w:sz w:val="22"/>
          <w:szCs w:val="22"/>
          <w:u w:val="single"/>
        </w:rPr>
        <w:t xml:space="preserve"> </w:t>
      </w:r>
      <w:r w:rsidRPr="00A70BED">
        <w:rPr>
          <w:sz w:val="22"/>
          <w:szCs w:val="22"/>
        </w:rPr>
        <w:t xml:space="preserve">Retrieved from </w:t>
      </w:r>
      <w:r w:rsidR="00FA4298" w:rsidRPr="00A70BED">
        <w:rPr>
          <w:sz w:val="22"/>
          <w:szCs w:val="22"/>
        </w:rPr>
        <w:t>https://assets.publishing.service.gov.uk/government/uploads/system/uploads/attachment_data/file/324965/Local_authority_health_scrutiny.pdf</w:t>
      </w:r>
    </w:p>
    <w:p w14:paraId="7F0E7CE5" w14:textId="1B737531" w:rsidR="006C370F" w:rsidRPr="00A70BED" w:rsidRDefault="006C370F" w:rsidP="007113FC">
      <w:pPr>
        <w:pStyle w:val="NormalWeb"/>
        <w:rPr>
          <w:rFonts w:ascii="Arial" w:hAnsi="Arial" w:cs="Arial"/>
          <w:sz w:val="22"/>
          <w:szCs w:val="22"/>
          <w:u w:val="single"/>
        </w:rPr>
      </w:pPr>
      <w:r w:rsidRPr="00A70BED">
        <w:rPr>
          <w:rFonts w:ascii="Arial" w:hAnsi="Arial" w:cs="Arial"/>
          <w:sz w:val="22"/>
          <w:szCs w:val="22"/>
        </w:rPr>
        <w:t xml:space="preserve">Department of Health (2014) </w:t>
      </w:r>
      <w:r w:rsidRPr="00A70BED">
        <w:rPr>
          <w:rFonts w:ascii="Arial" w:hAnsi="Arial" w:cs="Arial"/>
          <w:i/>
          <w:sz w:val="22"/>
          <w:szCs w:val="22"/>
        </w:rPr>
        <w:t>Health Building Note 00-01.  General design guidance for healthcare buildings</w:t>
      </w:r>
      <w:r w:rsidRPr="00A70BED">
        <w:rPr>
          <w:rFonts w:ascii="Arial" w:hAnsi="Arial" w:cs="Arial"/>
          <w:sz w:val="22"/>
          <w:szCs w:val="22"/>
        </w:rPr>
        <w:t>.  Retrieved from https://assets.publishing.service.gov.uk/government/uploads/system/uploads/attachment_data/file/316247/HBN_00-01-2.pdf</w:t>
      </w:r>
    </w:p>
    <w:p w14:paraId="6F4AE23D" w14:textId="38180914" w:rsidR="00CF7ED6" w:rsidRPr="00A70BED" w:rsidRDefault="00CF7ED6" w:rsidP="007113FC">
      <w:pPr>
        <w:pStyle w:val="NormalWeb"/>
        <w:rPr>
          <w:rFonts w:ascii="Arial" w:hAnsi="Arial" w:cs="Arial"/>
          <w:sz w:val="22"/>
          <w:szCs w:val="22"/>
        </w:rPr>
      </w:pPr>
      <w:r w:rsidRPr="00A70BED">
        <w:rPr>
          <w:rFonts w:ascii="Arial" w:hAnsi="Arial" w:cs="Arial"/>
          <w:sz w:val="22"/>
          <w:szCs w:val="22"/>
        </w:rPr>
        <w:t xml:space="preserve">Leicester City Council (2015) </w:t>
      </w:r>
      <w:r w:rsidRPr="00A70BED">
        <w:rPr>
          <w:rFonts w:ascii="Arial" w:hAnsi="Arial" w:cs="Arial"/>
          <w:i/>
          <w:sz w:val="22"/>
          <w:szCs w:val="22"/>
        </w:rPr>
        <w:t xml:space="preserve">Minutes of the meeting of the health and wellbeing scrutiny commission. </w:t>
      </w:r>
      <w:r w:rsidRPr="00A70BED">
        <w:rPr>
          <w:rFonts w:ascii="Arial" w:hAnsi="Arial" w:cs="Arial"/>
          <w:sz w:val="22"/>
          <w:szCs w:val="22"/>
        </w:rPr>
        <w:t xml:space="preserve">Retrieved from </w:t>
      </w:r>
      <w:hyperlink r:id="rId8" w:history="1">
        <w:r w:rsidR="00D82B39" w:rsidRPr="00661BBA">
          <w:rPr>
            <w:rStyle w:val="Hyperlink"/>
            <w:rFonts w:ascii="Arial" w:hAnsi="Arial" w:cs="Arial"/>
            <w:color w:val="auto"/>
            <w:sz w:val="22"/>
            <w:szCs w:val="22"/>
            <w:u w:val="none"/>
          </w:rPr>
          <w:t>http://www.cabinet.leicester.gov.uk/documents/g6806/Printed%20minutes%20Wednesday%2025-Mar-2015%2017.30%20Health%20and%20Wellbeing%20Scrutiny%20Commission.pdf?T=1</w:t>
        </w:r>
      </w:hyperlink>
    </w:p>
    <w:p w14:paraId="235F2379" w14:textId="0735EA6E" w:rsidR="00DA2A9B" w:rsidRPr="00A70BED" w:rsidRDefault="00DA2A9B" w:rsidP="007113FC">
      <w:pPr>
        <w:pStyle w:val="NormalWeb"/>
        <w:rPr>
          <w:rFonts w:ascii="Arial" w:hAnsi="Arial" w:cs="Arial"/>
          <w:sz w:val="22"/>
          <w:szCs w:val="22"/>
        </w:rPr>
      </w:pPr>
      <w:r w:rsidRPr="00A70BED">
        <w:rPr>
          <w:rFonts w:ascii="Arial" w:hAnsi="Arial" w:cs="Arial"/>
          <w:sz w:val="22"/>
          <w:szCs w:val="22"/>
        </w:rPr>
        <w:t xml:space="preserve">Leicestershire County Council (2015) </w:t>
      </w:r>
      <w:r w:rsidRPr="00A70BED">
        <w:rPr>
          <w:rFonts w:ascii="Arial" w:hAnsi="Arial" w:cs="Arial"/>
          <w:i/>
          <w:sz w:val="22"/>
          <w:szCs w:val="22"/>
        </w:rPr>
        <w:t>Minutes of 25/2/2015 meeting of Health Overview and Scrutiny Committee</w:t>
      </w:r>
      <w:r w:rsidRPr="00A70BED">
        <w:rPr>
          <w:rFonts w:ascii="Arial" w:hAnsi="Arial" w:cs="Arial"/>
          <w:sz w:val="22"/>
          <w:szCs w:val="22"/>
        </w:rPr>
        <w:t xml:space="preserve"> Retrieved from</w:t>
      </w:r>
      <w:r w:rsidRPr="00A70BED">
        <w:rPr>
          <w:sz w:val="22"/>
          <w:szCs w:val="22"/>
        </w:rPr>
        <w:t xml:space="preserve"> </w:t>
      </w:r>
      <w:r w:rsidRPr="00A70BED">
        <w:rPr>
          <w:rFonts w:ascii="Arial" w:hAnsi="Arial" w:cs="Arial"/>
          <w:sz w:val="22"/>
          <w:szCs w:val="22"/>
        </w:rPr>
        <w:t>http://politics.leics.gov.uk/documents/g4235/Printed%20minutes%20Wednesday%20</w:t>
      </w:r>
      <w:r w:rsidRPr="00A70BED">
        <w:rPr>
          <w:rFonts w:ascii="Arial" w:hAnsi="Arial" w:cs="Arial"/>
          <w:sz w:val="22"/>
          <w:szCs w:val="22"/>
        </w:rPr>
        <w:lastRenderedPageBreak/>
        <w:t>25-Feb-2015%2014.00%20Health%20Overview%20and%20Scrutiny%20Committee.pdf?T=1</w:t>
      </w:r>
    </w:p>
    <w:p w14:paraId="48C35979" w14:textId="2C3A5BEF" w:rsidR="007113FC" w:rsidRPr="00A70BED" w:rsidRDefault="007113FC" w:rsidP="007113FC">
      <w:pPr>
        <w:pStyle w:val="NormalWeb"/>
        <w:rPr>
          <w:rFonts w:ascii="Arial" w:hAnsi="Arial" w:cs="Arial"/>
          <w:sz w:val="22"/>
          <w:szCs w:val="22"/>
        </w:rPr>
      </w:pPr>
      <w:r w:rsidRPr="00A70BED">
        <w:rPr>
          <w:rFonts w:ascii="Arial" w:hAnsi="Arial" w:cs="Arial"/>
          <w:sz w:val="22"/>
          <w:szCs w:val="22"/>
        </w:rPr>
        <w:t xml:space="preserve">Mills &amp; Reeve (2013) </w:t>
      </w:r>
      <w:r w:rsidRPr="00A70BED">
        <w:rPr>
          <w:rFonts w:ascii="Arial" w:hAnsi="Arial" w:cs="Arial"/>
          <w:i/>
          <w:sz w:val="22"/>
          <w:szCs w:val="22"/>
        </w:rPr>
        <w:t xml:space="preserve">Reconfiguring services: when must NHS bodies consult the public? How do they go about doing it? And how can they protect themselves from legal challenge? </w:t>
      </w:r>
      <w:r w:rsidRPr="00A70BED">
        <w:rPr>
          <w:rFonts w:ascii="Arial" w:hAnsi="Arial" w:cs="Arial"/>
          <w:sz w:val="22"/>
          <w:szCs w:val="22"/>
        </w:rPr>
        <w:t>Retrieved from</w:t>
      </w:r>
      <w:r w:rsidR="00D82B39">
        <w:rPr>
          <w:rFonts w:ascii="Arial" w:hAnsi="Arial" w:cs="Arial"/>
          <w:sz w:val="22"/>
          <w:szCs w:val="22"/>
        </w:rPr>
        <w:t xml:space="preserve">:  </w:t>
      </w:r>
      <w:r w:rsidR="009B36DB" w:rsidRPr="00A70BED">
        <w:rPr>
          <w:rFonts w:ascii="Arial" w:hAnsi="Arial" w:cs="Arial"/>
          <w:sz w:val="22"/>
          <w:szCs w:val="22"/>
        </w:rPr>
        <w:t>https://www.mills-reeve.com/files/Publication/1c71458e-6a71-4b88-95df-a7a575500263/Presentation/PublicationAttachment/f3a0da0b-1fbd-4081-952d-b51f14505974/Reconfiguring%20services%20briefing_October%202013.pdf</w:t>
      </w:r>
    </w:p>
    <w:p w14:paraId="1F7BDD18" w14:textId="35DEA12A" w:rsidR="007113FC" w:rsidRPr="00A70BED" w:rsidRDefault="00586B4A" w:rsidP="002C0512">
      <w:pPr>
        <w:rPr>
          <w:sz w:val="22"/>
          <w:szCs w:val="22"/>
        </w:rPr>
      </w:pPr>
      <w:r w:rsidRPr="00A70BED">
        <w:rPr>
          <w:sz w:val="22"/>
          <w:szCs w:val="22"/>
        </w:rPr>
        <w:t xml:space="preserve">NHS England (2017) </w:t>
      </w:r>
      <w:r w:rsidRPr="00A70BED">
        <w:rPr>
          <w:i/>
          <w:sz w:val="22"/>
          <w:szCs w:val="22"/>
        </w:rPr>
        <w:t xml:space="preserve">Patient and public participation in commissioning health and care: statutory guidance for CCGs and NHS England.  </w:t>
      </w:r>
      <w:r w:rsidRPr="00A70BED">
        <w:rPr>
          <w:sz w:val="22"/>
          <w:szCs w:val="22"/>
        </w:rPr>
        <w:t xml:space="preserve">Retrieved from: </w:t>
      </w:r>
      <w:hyperlink r:id="rId9" w:history="1">
        <w:r w:rsidRPr="00A70BED">
          <w:rPr>
            <w:rStyle w:val="Hyperlink"/>
            <w:color w:val="auto"/>
            <w:sz w:val="22"/>
            <w:szCs w:val="22"/>
            <w:u w:val="none"/>
          </w:rPr>
          <w:t>https://www.england.nhs.uk/wp- content/uploads/2017/05/patient-and-public-participation-guidance.pdf</w:t>
        </w:r>
      </w:hyperlink>
      <w:r w:rsidRPr="00A70BED">
        <w:rPr>
          <w:sz w:val="22"/>
          <w:szCs w:val="22"/>
        </w:rPr>
        <w:t>]</w:t>
      </w:r>
    </w:p>
    <w:p w14:paraId="2E3149D9" w14:textId="77777777" w:rsidR="00FE41DA" w:rsidRPr="00A70BED" w:rsidRDefault="00FE41DA" w:rsidP="002C0512">
      <w:pPr>
        <w:rPr>
          <w:sz w:val="22"/>
          <w:szCs w:val="22"/>
        </w:rPr>
      </w:pPr>
    </w:p>
    <w:p w14:paraId="33EAD6B6" w14:textId="08A54F0E" w:rsidR="00FE41DA" w:rsidRDefault="00FE41DA" w:rsidP="002C0512">
      <w:pPr>
        <w:rPr>
          <w:rStyle w:val="Hyperlink"/>
          <w:color w:val="auto"/>
          <w:sz w:val="22"/>
          <w:szCs w:val="22"/>
          <w:u w:val="none"/>
        </w:rPr>
      </w:pPr>
      <w:r w:rsidRPr="00A70BED">
        <w:rPr>
          <w:sz w:val="22"/>
          <w:szCs w:val="22"/>
        </w:rPr>
        <w:t xml:space="preserve">NHS England (2018) </w:t>
      </w:r>
      <w:r w:rsidRPr="00A70BED">
        <w:rPr>
          <w:i/>
          <w:sz w:val="22"/>
          <w:szCs w:val="22"/>
        </w:rPr>
        <w:t xml:space="preserve">Planning, assuring and delivering service change for patients </w:t>
      </w:r>
      <w:r w:rsidRPr="00A70BED">
        <w:rPr>
          <w:sz w:val="22"/>
          <w:szCs w:val="22"/>
        </w:rPr>
        <w:t xml:space="preserve">Retrieved from </w:t>
      </w:r>
      <w:hyperlink r:id="rId10" w:history="1">
        <w:r w:rsidR="00DA2A9B" w:rsidRPr="00FC7258">
          <w:rPr>
            <w:rStyle w:val="Hyperlink"/>
            <w:color w:val="auto"/>
            <w:sz w:val="22"/>
            <w:szCs w:val="22"/>
            <w:u w:val="none"/>
          </w:rPr>
          <w:t>https://www.england.nhs.uk/publication/planning-assuring-and-delivering-service-change-for-patients/</w:t>
        </w:r>
      </w:hyperlink>
    </w:p>
    <w:p w14:paraId="0FEA06AB" w14:textId="77777777" w:rsidR="00E13BB0" w:rsidRDefault="00E13BB0" w:rsidP="002C0512">
      <w:pPr>
        <w:rPr>
          <w:rStyle w:val="Hyperlink"/>
          <w:color w:val="auto"/>
          <w:sz w:val="22"/>
          <w:szCs w:val="22"/>
          <w:u w:val="none"/>
        </w:rPr>
      </w:pPr>
    </w:p>
    <w:p w14:paraId="200E8126" w14:textId="7F45B969" w:rsidR="00E13BB0" w:rsidRDefault="00E13BB0" w:rsidP="002C0512">
      <w:pPr>
        <w:rPr>
          <w:sz w:val="22"/>
          <w:szCs w:val="22"/>
        </w:rPr>
      </w:pPr>
      <w:r>
        <w:rPr>
          <w:sz w:val="22"/>
          <w:szCs w:val="22"/>
        </w:rPr>
        <w:t>NHS England</w:t>
      </w:r>
      <w:r w:rsidRPr="00316483">
        <w:rPr>
          <w:sz w:val="22"/>
          <w:szCs w:val="22"/>
        </w:rPr>
        <w:t xml:space="preserve"> </w:t>
      </w:r>
      <w:r>
        <w:rPr>
          <w:sz w:val="22"/>
          <w:szCs w:val="22"/>
        </w:rPr>
        <w:t xml:space="preserve">(2017) </w:t>
      </w:r>
      <w:r w:rsidRPr="00E13BB0">
        <w:rPr>
          <w:i/>
          <w:sz w:val="22"/>
          <w:szCs w:val="22"/>
        </w:rPr>
        <w:t>Schedule 2: The Services. A: Specifications – Adult Kidney Transplant Service</w:t>
      </w:r>
      <w:r w:rsidRPr="00316483">
        <w:rPr>
          <w:sz w:val="22"/>
          <w:szCs w:val="22"/>
        </w:rPr>
        <w:t xml:space="preserve"> 16079/S</w:t>
      </w:r>
      <w:r>
        <w:rPr>
          <w:sz w:val="22"/>
          <w:szCs w:val="22"/>
        </w:rPr>
        <w:t>. Retrieved from:</w:t>
      </w:r>
    </w:p>
    <w:p w14:paraId="69AACAA4" w14:textId="77777777" w:rsidR="00E13BB0" w:rsidRDefault="00E13BB0" w:rsidP="00E13BB0">
      <w:r w:rsidRPr="00DB0566">
        <w:t>https://www.england.nhs.uk/wp-content/uploads/2017/05/service-spec-adult-kidney-transplant-service.pdf</w:t>
      </w:r>
    </w:p>
    <w:p w14:paraId="3645B888" w14:textId="77777777" w:rsidR="00E13BB0" w:rsidRPr="00A70BED" w:rsidRDefault="00E13BB0" w:rsidP="002C0512">
      <w:pPr>
        <w:rPr>
          <w:sz w:val="22"/>
          <w:szCs w:val="22"/>
        </w:rPr>
      </w:pPr>
    </w:p>
    <w:p w14:paraId="3A6F4418" w14:textId="77777777" w:rsidR="00DA2A9B" w:rsidRPr="00A70BED" w:rsidRDefault="00DA2A9B" w:rsidP="002C0512">
      <w:pPr>
        <w:rPr>
          <w:sz w:val="22"/>
          <w:szCs w:val="22"/>
        </w:rPr>
      </w:pPr>
    </w:p>
    <w:p w14:paraId="48D670BA" w14:textId="734F41FC" w:rsidR="00DA2A9B" w:rsidRPr="00FC7258" w:rsidRDefault="00DA2A9B" w:rsidP="002C0512">
      <w:pPr>
        <w:rPr>
          <w:sz w:val="22"/>
          <w:szCs w:val="22"/>
        </w:rPr>
      </w:pPr>
      <w:r w:rsidRPr="00A70BED">
        <w:rPr>
          <w:sz w:val="22"/>
          <w:szCs w:val="22"/>
        </w:rPr>
        <w:t xml:space="preserve">University Hospitals of Leicester (2014) </w:t>
      </w:r>
      <w:r w:rsidRPr="00A70BED">
        <w:rPr>
          <w:i/>
          <w:sz w:val="22"/>
          <w:szCs w:val="22"/>
        </w:rPr>
        <w:t>Report of the University Hospitals of Leicester NHS Trust.  The future of intensive care at the University Hospitals of Leicester</w:t>
      </w:r>
      <w:r w:rsidRPr="00A70BED">
        <w:rPr>
          <w:sz w:val="22"/>
          <w:szCs w:val="22"/>
        </w:rPr>
        <w:t xml:space="preserve">.  Retrieved from </w:t>
      </w:r>
      <w:hyperlink r:id="rId11" w:history="1">
        <w:r w:rsidR="00962612" w:rsidRPr="00FC7258">
          <w:rPr>
            <w:rStyle w:val="Hyperlink"/>
            <w:color w:val="auto"/>
            <w:sz w:val="22"/>
            <w:szCs w:val="22"/>
            <w:u w:val="none"/>
          </w:rPr>
          <w:t>http://politics.leics.gov.uk/documents/s107708/The%20Future%20of%20Intensive%20Care%20at%20UHL.pdf</w:t>
        </w:r>
      </w:hyperlink>
    </w:p>
    <w:p w14:paraId="55E5A821" w14:textId="77777777" w:rsidR="00D82B39" w:rsidRPr="00A70BED" w:rsidRDefault="00D82B39" w:rsidP="002C0512">
      <w:pPr>
        <w:rPr>
          <w:sz w:val="22"/>
          <w:szCs w:val="22"/>
        </w:rPr>
      </w:pPr>
    </w:p>
    <w:p w14:paraId="1B9F7BA8" w14:textId="0FE05804" w:rsidR="00106D39" w:rsidRPr="00A70BED" w:rsidRDefault="00E277AD" w:rsidP="001A29C4">
      <w:pPr>
        <w:rPr>
          <w:sz w:val="22"/>
          <w:szCs w:val="22"/>
        </w:rPr>
      </w:pPr>
      <w:r w:rsidRPr="00D404D2">
        <w:rPr>
          <w:sz w:val="22"/>
          <w:szCs w:val="22"/>
        </w:rPr>
        <w:t>(</w:t>
      </w:r>
      <w:r w:rsidRPr="00A70BED">
        <w:rPr>
          <w:i/>
          <w:sz w:val="22"/>
          <w:szCs w:val="22"/>
        </w:rPr>
        <w:t>It m</w:t>
      </w:r>
      <w:r w:rsidR="00457840">
        <w:rPr>
          <w:i/>
          <w:sz w:val="22"/>
          <w:szCs w:val="22"/>
        </w:rPr>
        <w:t>ay</w:t>
      </w:r>
      <w:r w:rsidRPr="00A70BED">
        <w:rPr>
          <w:i/>
          <w:sz w:val="22"/>
          <w:szCs w:val="22"/>
        </w:rPr>
        <w:t xml:space="preserve"> be necessary to copy and paste URLs into a search engine</w:t>
      </w:r>
      <w:r>
        <w:rPr>
          <w:sz w:val="22"/>
          <w:szCs w:val="22"/>
        </w:rPr>
        <w:t>)</w:t>
      </w:r>
    </w:p>
    <w:sectPr w:rsidR="00106D39" w:rsidRPr="00A70BED" w:rsidSect="00A177AD">
      <w:headerReference w:type="even" r:id="rId12"/>
      <w:headerReference w:type="default" r:id="rId13"/>
      <w:footerReference w:type="even" r:id="rId14"/>
      <w:footerReference w:type="default" r:id="rId15"/>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8A10" w14:textId="77777777" w:rsidR="00E11C4D" w:rsidRDefault="00E11C4D" w:rsidP="00957BEC">
      <w:r>
        <w:separator/>
      </w:r>
    </w:p>
  </w:endnote>
  <w:endnote w:type="continuationSeparator" w:id="0">
    <w:p w14:paraId="665E93C9" w14:textId="77777777" w:rsidR="00E11C4D" w:rsidRDefault="00E11C4D" w:rsidP="0095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B064" w14:textId="77777777" w:rsidR="00D86436" w:rsidRDefault="00D86436" w:rsidP="00184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71FBF" w14:textId="77777777" w:rsidR="00D86436" w:rsidRDefault="00D86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22F2" w14:textId="7F0A78DD" w:rsidR="00D86436" w:rsidRDefault="00D86436">
    <w:pPr>
      <w:pStyle w:val="Footer"/>
    </w:pPr>
    <w:r>
      <w:t>Underwood et al (2018) UHL FBC on ICU proposals</w:t>
    </w:r>
    <w:r w:rsidR="00ED620F">
      <w:t xml:space="preserve"> revised</w:t>
    </w:r>
  </w:p>
  <w:p w14:paraId="56F0CDB0" w14:textId="77777777" w:rsidR="00D86436" w:rsidRDefault="00D8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C6088" w14:textId="77777777" w:rsidR="00E11C4D" w:rsidRDefault="00E11C4D" w:rsidP="00957BEC">
      <w:r>
        <w:separator/>
      </w:r>
    </w:p>
  </w:footnote>
  <w:footnote w:type="continuationSeparator" w:id="0">
    <w:p w14:paraId="761AB56B" w14:textId="77777777" w:rsidR="00E11C4D" w:rsidRDefault="00E11C4D" w:rsidP="00957BEC">
      <w:r>
        <w:continuationSeparator/>
      </w:r>
    </w:p>
  </w:footnote>
  <w:footnote w:id="1">
    <w:p w14:paraId="487A090D" w14:textId="77777777" w:rsidR="00D86436" w:rsidRPr="00FC7258" w:rsidRDefault="00D86436" w:rsidP="00E55BF4">
      <w:pPr>
        <w:pStyle w:val="FootnoteText"/>
        <w:rPr>
          <w:sz w:val="20"/>
          <w:szCs w:val="20"/>
          <w:lang w:val="en-US"/>
        </w:rPr>
      </w:pPr>
      <w:r w:rsidRPr="00FC7258">
        <w:rPr>
          <w:rStyle w:val="FootnoteReference"/>
          <w:sz w:val="20"/>
          <w:szCs w:val="20"/>
        </w:rPr>
        <w:footnoteRef/>
      </w:r>
      <w:r w:rsidRPr="00FC7258">
        <w:rPr>
          <w:sz w:val="20"/>
          <w:szCs w:val="20"/>
        </w:rPr>
        <w:t xml:space="preserve"> Retrieved from https://www.rcseng.ac.uk/news-and-events/media-centre/media-background-briefings-and-statistics/general-surgery/</w:t>
      </w:r>
    </w:p>
  </w:footnote>
  <w:footnote w:id="2">
    <w:p w14:paraId="40F708BA" w14:textId="7AC88CB7" w:rsidR="00D86436" w:rsidRPr="00E33FCA" w:rsidRDefault="00D86436">
      <w:pPr>
        <w:pStyle w:val="FootnoteText"/>
        <w:rPr>
          <w:sz w:val="22"/>
          <w:szCs w:val="22"/>
          <w:lang w:val="en-US"/>
        </w:rPr>
      </w:pPr>
      <w:r w:rsidRPr="00E33FCA">
        <w:rPr>
          <w:rStyle w:val="FootnoteReference"/>
          <w:sz w:val="22"/>
          <w:szCs w:val="22"/>
        </w:rPr>
        <w:footnoteRef/>
      </w:r>
      <w:r w:rsidRPr="00E33FCA">
        <w:rPr>
          <w:sz w:val="22"/>
          <w:szCs w:val="22"/>
        </w:rPr>
        <w:t xml:space="preserve"> </w:t>
      </w:r>
      <w:r w:rsidRPr="00E33FCA">
        <w:rPr>
          <w:sz w:val="22"/>
          <w:szCs w:val="22"/>
          <w:lang w:val="en-US"/>
        </w:rPr>
        <w:t>Retrieved from http://www.library.leicestershospitals.nhs.uk/pubscheme/Documents/How%20we%20make%20decisions/Board%20Papers/2018%20-%20Thursday%205%20July%202018/paper%20G.pdf</w:t>
      </w:r>
    </w:p>
  </w:footnote>
  <w:footnote w:id="3">
    <w:p w14:paraId="32E2A58C" w14:textId="4A7E2CBB" w:rsidR="00D86436" w:rsidRPr="00B86975" w:rsidRDefault="00D86436">
      <w:pPr>
        <w:pStyle w:val="FootnoteText"/>
        <w:rPr>
          <w:sz w:val="20"/>
          <w:szCs w:val="20"/>
          <w:lang w:val="en-US"/>
        </w:rPr>
      </w:pPr>
      <w:r w:rsidRPr="00B86975">
        <w:rPr>
          <w:rStyle w:val="FootnoteReference"/>
          <w:sz w:val="20"/>
          <w:szCs w:val="20"/>
        </w:rPr>
        <w:footnoteRef/>
      </w:r>
      <w:r w:rsidRPr="00B86975">
        <w:rPr>
          <w:sz w:val="20"/>
          <w:szCs w:val="20"/>
        </w:rPr>
        <w:t xml:space="preserve"> </w:t>
      </w:r>
      <w:r w:rsidRPr="00B86975">
        <w:rPr>
          <w:sz w:val="20"/>
          <w:szCs w:val="20"/>
          <w:lang w:val="en-US"/>
        </w:rPr>
        <w:t>Retrieved from https://www.mills-reeve.com/files/Publication/1c71458e-6a71-4b88-95df-a7a575500263/Presentation/PublicationAttachment/f3a0da0b-1fbd-4081-952d-b51f14505974/Reconfiguring%20services%20briefing_October%202013.pdf</w:t>
      </w:r>
    </w:p>
  </w:footnote>
  <w:footnote w:id="4">
    <w:p w14:paraId="27BAA1F1" w14:textId="79AC82E3" w:rsidR="00D86436" w:rsidRPr="00B86975" w:rsidRDefault="00D86436">
      <w:pPr>
        <w:pStyle w:val="FootnoteText"/>
        <w:rPr>
          <w:lang w:val="en-US"/>
        </w:rPr>
      </w:pPr>
      <w:r w:rsidRPr="00B86975">
        <w:rPr>
          <w:rStyle w:val="FootnoteReference"/>
          <w:sz w:val="20"/>
          <w:szCs w:val="20"/>
        </w:rPr>
        <w:footnoteRef/>
      </w:r>
      <w:r w:rsidRPr="00B86975">
        <w:rPr>
          <w:sz w:val="20"/>
          <w:szCs w:val="20"/>
        </w:rPr>
        <w:t xml:space="preserve"> Retrieved from: </w:t>
      </w:r>
      <w:hyperlink r:id="rId1" w:history="1">
        <w:r w:rsidRPr="00B86975">
          <w:rPr>
            <w:rStyle w:val="Hyperlink"/>
            <w:color w:val="auto"/>
            <w:sz w:val="20"/>
            <w:szCs w:val="20"/>
            <w:u w:val="none"/>
          </w:rPr>
          <w:t>https://www.england.nhs.uk/wp- content/uploads/2017/05/patient-and-public-participation-guidance.pdf</w:t>
        </w:r>
      </w:hyperlink>
      <w:r w:rsidRPr="00B86975">
        <w:rPr>
          <w:sz w:val="20"/>
          <w:szCs w:val="20"/>
        </w:rPr>
        <w:t>]</w:t>
      </w:r>
    </w:p>
  </w:footnote>
  <w:footnote w:id="5">
    <w:p w14:paraId="42152966" w14:textId="23FCA59A" w:rsidR="00D86436" w:rsidRPr="00E277AD" w:rsidRDefault="00D86436">
      <w:pPr>
        <w:pStyle w:val="FootnoteText"/>
        <w:rPr>
          <w:sz w:val="20"/>
          <w:szCs w:val="20"/>
          <w:lang w:val="en-US"/>
        </w:rPr>
      </w:pPr>
      <w:r w:rsidRPr="00E277AD">
        <w:rPr>
          <w:rStyle w:val="FootnoteReference"/>
          <w:sz w:val="20"/>
          <w:szCs w:val="20"/>
        </w:rPr>
        <w:footnoteRef/>
      </w:r>
      <w:r w:rsidRPr="00E277AD">
        <w:rPr>
          <w:sz w:val="20"/>
          <w:szCs w:val="20"/>
        </w:rPr>
        <w:t xml:space="preserve"> </w:t>
      </w:r>
      <w:r w:rsidRPr="00E277AD">
        <w:rPr>
          <w:sz w:val="20"/>
          <w:szCs w:val="20"/>
          <w:lang w:val="en-US"/>
        </w:rPr>
        <w:t>Retrieved from https://www.england.nhs.uk/publication/planning-assuring-and-delivering-service-change-for-patients/</w:t>
      </w:r>
    </w:p>
  </w:footnote>
  <w:footnote w:id="6">
    <w:p w14:paraId="7C9D619E" w14:textId="77777777" w:rsidR="00D86436" w:rsidRPr="00B86975" w:rsidRDefault="00D86436" w:rsidP="005D4ED9">
      <w:pPr>
        <w:pStyle w:val="FootnoteText"/>
        <w:rPr>
          <w:sz w:val="20"/>
          <w:szCs w:val="20"/>
          <w:lang w:val="en-US"/>
        </w:rPr>
      </w:pPr>
      <w:r w:rsidRPr="00B86975">
        <w:rPr>
          <w:rStyle w:val="FootnoteReference"/>
          <w:sz w:val="20"/>
          <w:szCs w:val="20"/>
        </w:rPr>
        <w:footnoteRef/>
      </w:r>
      <w:r w:rsidRPr="00B86975">
        <w:rPr>
          <w:sz w:val="20"/>
          <w:szCs w:val="20"/>
        </w:rPr>
        <w:t xml:space="preserve"> </w:t>
      </w:r>
      <w:r w:rsidRPr="00B86975">
        <w:rPr>
          <w:sz w:val="20"/>
          <w:szCs w:val="20"/>
          <w:lang w:val="en-US"/>
        </w:rPr>
        <w:t>Retrieved from http://politics.leics.gov.uk/documents/s107708/The%20Future%20of%20Intensive%20Care%20at%20UHL.pdf</w:t>
      </w:r>
    </w:p>
  </w:footnote>
  <w:footnote w:id="7">
    <w:p w14:paraId="60D70FBF" w14:textId="59F52831" w:rsidR="00D86436" w:rsidRPr="00E277AD" w:rsidRDefault="00D86436">
      <w:pPr>
        <w:pStyle w:val="FootnoteText"/>
        <w:rPr>
          <w:sz w:val="20"/>
          <w:szCs w:val="20"/>
          <w:lang w:val="en-US"/>
        </w:rPr>
      </w:pPr>
      <w:r w:rsidRPr="00E277AD">
        <w:rPr>
          <w:rStyle w:val="FootnoteReference"/>
          <w:sz w:val="20"/>
          <w:szCs w:val="20"/>
        </w:rPr>
        <w:footnoteRef/>
      </w:r>
      <w:r w:rsidRPr="00E277AD">
        <w:rPr>
          <w:sz w:val="20"/>
          <w:szCs w:val="20"/>
        </w:rPr>
        <w:t xml:space="preserve"> </w:t>
      </w:r>
      <w:r w:rsidRPr="00E277AD">
        <w:rPr>
          <w:sz w:val="20"/>
          <w:szCs w:val="20"/>
          <w:lang w:val="en-US"/>
        </w:rPr>
        <w:t>Retrieved from http://politics.leics.gov.uk/documents/g4235/Printed%20minutes%20Wednesday%2025-Feb-2015%2014.00%20Health%20Overview%20and%20Scrutiny%20Committee.pdf?T=1</w:t>
      </w:r>
    </w:p>
  </w:footnote>
  <w:footnote w:id="8">
    <w:p w14:paraId="7A99E849" w14:textId="10E3BEC0" w:rsidR="00D86436" w:rsidRPr="00E277AD" w:rsidRDefault="00D86436">
      <w:pPr>
        <w:pStyle w:val="FootnoteText"/>
        <w:rPr>
          <w:sz w:val="20"/>
          <w:szCs w:val="20"/>
          <w:lang w:val="en-US"/>
        </w:rPr>
      </w:pPr>
      <w:r w:rsidRPr="00E277AD">
        <w:rPr>
          <w:rStyle w:val="FootnoteReference"/>
          <w:sz w:val="20"/>
          <w:szCs w:val="20"/>
        </w:rPr>
        <w:footnoteRef/>
      </w:r>
      <w:r w:rsidRPr="00E277AD">
        <w:rPr>
          <w:sz w:val="20"/>
          <w:szCs w:val="20"/>
        </w:rPr>
        <w:t xml:space="preserve"> </w:t>
      </w:r>
      <w:r w:rsidRPr="00E277AD">
        <w:rPr>
          <w:sz w:val="20"/>
          <w:szCs w:val="20"/>
          <w:lang w:val="en-US"/>
        </w:rPr>
        <w:t>Retrieved from http://www.cabinet.leicester.gov.uk/documents/g6806/Printed%20minutes%20Wednesday%2025-Mar-2015%2017.30%20Health%20and%20Wellbeing%20Scrutiny%20Commission.pdf?T=1</w:t>
      </w:r>
    </w:p>
  </w:footnote>
  <w:footnote w:id="9">
    <w:p w14:paraId="02F78AEC" w14:textId="33D3611B" w:rsidR="00D86436" w:rsidRPr="008768A5" w:rsidRDefault="00D86436">
      <w:pPr>
        <w:pStyle w:val="FootnoteText"/>
        <w:rPr>
          <w:lang w:val="en-US"/>
        </w:rPr>
      </w:pPr>
      <w:r w:rsidRPr="00E277AD">
        <w:rPr>
          <w:rStyle w:val="FootnoteReference"/>
          <w:sz w:val="20"/>
          <w:szCs w:val="20"/>
        </w:rPr>
        <w:footnoteRef/>
      </w:r>
      <w:r w:rsidRPr="00E277AD">
        <w:rPr>
          <w:sz w:val="20"/>
          <w:szCs w:val="20"/>
        </w:rPr>
        <w:t xml:space="preserve"> Retrieved from https://assets.publishing.service.gov.uk/government/uploads/system/uploads/attachment_data/file/324965/Local_authority_health_scrutiny.pdf</w:t>
      </w:r>
    </w:p>
  </w:footnote>
  <w:footnote w:id="10">
    <w:p w14:paraId="30063310" w14:textId="77777777" w:rsidR="00D86436" w:rsidRPr="00427D46" w:rsidRDefault="00D86436" w:rsidP="0030169D">
      <w:pPr>
        <w:pStyle w:val="FootnoteText"/>
        <w:rPr>
          <w:sz w:val="20"/>
          <w:szCs w:val="20"/>
          <w:lang w:val="en-US"/>
        </w:rPr>
      </w:pPr>
      <w:r w:rsidRPr="00105419">
        <w:rPr>
          <w:rStyle w:val="FootnoteReference"/>
          <w:sz w:val="20"/>
          <w:szCs w:val="20"/>
        </w:rPr>
        <w:footnoteRef/>
      </w:r>
      <w:r w:rsidRPr="00105419">
        <w:rPr>
          <w:sz w:val="20"/>
          <w:szCs w:val="20"/>
        </w:rPr>
        <w:t xml:space="preserve"> </w:t>
      </w:r>
      <w:r w:rsidRPr="00577C5F">
        <w:rPr>
          <w:sz w:val="20"/>
          <w:szCs w:val="20"/>
          <w:lang w:val="en-US"/>
        </w:rPr>
        <w:t xml:space="preserve">Retrieved from </w:t>
      </w:r>
      <w:r w:rsidRPr="00427D46">
        <w:rPr>
          <w:sz w:val="20"/>
          <w:szCs w:val="20"/>
          <w:lang w:val="en-US"/>
        </w:rPr>
        <w:t>https://assets.publishing.service.gov.uk/government/uploads/system/uploads/attachment_data/file/324965/Local_authority_health_scrutiny.pdf</w:t>
      </w:r>
    </w:p>
  </w:footnote>
  <w:footnote w:id="11">
    <w:p w14:paraId="34395C25" w14:textId="18B0B0B2" w:rsidR="00D86436" w:rsidRPr="00A66AE0" w:rsidRDefault="00D86436">
      <w:pPr>
        <w:pStyle w:val="FootnoteText"/>
        <w:rPr>
          <w:sz w:val="20"/>
          <w:szCs w:val="20"/>
          <w:lang w:val="en-US"/>
        </w:rPr>
      </w:pPr>
      <w:r w:rsidRPr="00A66AE0">
        <w:rPr>
          <w:rStyle w:val="FootnoteReference"/>
          <w:sz w:val="20"/>
          <w:szCs w:val="20"/>
        </w:rPr>
        <w:footnoteRef/>
      </w:r>
      <w:r w:rsidRPr="00A66AE0">
        <w:rPr>
          <w:sz w:val="20"/>
          <w:szCs w:val="20"/>
        </w:rPr>
        <w:t xml:space="preserve"> </w:t>
      </w:r>
      <w:r w:rsidRPr="00A66AE0">
        <w:rPr>
          <w:color w:val="333333"/>
          <w:sz w:val="20"/>
          <w:szCs w:val="20"/>
        </w:rPr>
        <w:t xml:space="preserve">The STP </w:t>
      </w:r>
      <w:r>
        <w:rPr>
          <w:color w:val="333333"/>
          <w:sz w:val="20"/>
          <w:szCs w:val="20"/>
        </w:rPr>
        <w:t>is sometimes referred to as</w:t>
      </w:r>
      <w:r w:rsidRPr="00A66AE0">
        <w:rPr>
          <w:color w:val="333333"/>
          <w:sz w:val="20"/>
          <w:szCs w:val="20"/>
        </w:rPr>
        <w:t xml:space="preserve"> ‘Better Care Together’.</w:t>
      </w:r>
    </w:p>
  </w:footnote>
  <w:footnote w:id="12">
    <w:p w14:paraId="5BE5054E" w14:textId="28E90E7C" w:rsidR="00D86436" w:rsidRPr="00E277AD" w:rsidRDefault="00D86436">
      <w:pPr>
        <w:pStyle w:val="FootnoteText"/>
        <w:rPr>
          <w:sz w:val="20"/>
          <w:szCs w:val="20"/>
          <w:lang w:val="en-US"/>
        </w:rPr>
      </w:pPr>
      <w:r w:rsidRPr="00E277AD">
        <w:rPr>
          <w:rStyle w:val="FootnoteReference"/>
          <w:sz w:val="20"/>
          <w:szCs w:val="20"/>
        </w:rPr>
        <w:footnoteRef/>
      </w:r>
      <w:r w:rsidRPr="00E277AD">
        <w:rPr>
          <w:sz w:val="20"/>
          <w:szCs w:val="20"/>
        </w:rPr>
        <w:t xml:space="preserve"> </w:t>
      </w:r>
      <w:r w:rsidRPr="00E277AD">
        <w:rPr>
          <w:sz w:val="20"/>
          <w:szCs w:val="20"/>
          <w:lang w:val="en-US"/>
        </w:rPr>
        <w:t>When questioned at ELR CCG board meeting on 10/7/2018, the UHL representatives stated this would be in the paediatric cardiac unit once it has been re-sited at LRI.</w:t>
      </w:r>
    </w:p>
  </w:footnote>
  <w:footnote w:id="13">
    <w:p w14:paraId="7BFD5265" w14:textId="6A133CC0" w:rsidR="00D86436" w:rsidRPr="00E277AD" w:rsidRDefault="00D86436">
      <w:pPr>
        <w:pStyle w:val="FootnoteText"/>
        <w:rPr>
          <w:sz w:val="20"/>
          <w:szCs w:val="20"/>
          <w:lang w:val="en-US"/>
        </w:rPr>
      </w:pPr>
      <w:r w:rsidRPr="00E277AD">
        <w:rPr>
          <w:rStyle w:val="FootnoteReference"/>
          <w:sz w:val="20"/>
          <w:szCs w:val="20"/>
        </w:rPr>
        <w:footnoteRef/>
      </w:r>
      <w:r w:rsidRPr="00E277AD">
        <w:rPr>
          <w:sz w:val="20"/>
          <w:szCs w:val="20"/>
        </w:rPr>
        <w:t xml:space="preserve"> </w:t>
      </w:r>
      <w:r w:rsidRPr="00E277AD">
        <w:rPr>
          <w:sz w:val="20"/>
          <w:szCs w:val="20"/>
          <w:lang w:val="en-US"/>
        </w:rPr>
        <w:t>Health Building Note 00-01 retrieved from https://assets.publishing.service.gov.uk/government/uploads/system/uploads/attachment_data/file/316247/HBN_00-01-2.pdf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BBB7" w14:textId="77777777" w:rsidR="00D86436" w:rsidRDefault="00D86436" w:rsidP="00875E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6F4D6" w14:textId="77777777" w:rsidR="00D86436" w:rsidRDefault="00D86436" w:rsidP="004B2E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F8F0" w14:textId="77777777" w:rsidR="00D86436" w:rsidRDefault="00D86436" w:rsidP="00875E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141">
      <w:rPr>
        <w:rStyle w:val="PageNumber"/>
        <w:noProof/>
      </w:rPr>
      <w:t>18</w:t>
    </w:r>
    <w:r>
      <w:rPr>
        <w:rStyle w:val="PageNumber"/>
      </w:rPr>
      <w:fldChar w:fldCharType="end"/>
    </w:r>
  </w:p>
  <w:p w14:paraId="2BB5EB77" w14:textId="77777777" w:rsidR="00D86436" w:rsidRDefault="00D86436" w:rsidP="004B2EC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91314"/>
    <w:multiLevelType w:val="hybridMultilevel"/>
    <w:tmpl w:val="EA9E5FE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650C6E"/>
    <w:multiLevelType w:val="multilevel"/>
    <w:tmpl w:val="7FFEAA50"/>
    <w:lvl w:ilvl="0">
      <w:start w:val="1"/>
      <w:numFmt w:val="upperRoman"/>
      <w:lvlText w:val="%1."/>
      <w:lvlJc w:val="right"/>
      <w:pPr>
        <w:tabs>
          <w:tab w:val="num" w:pos="624"/>
        </w:tabs>
        <w:ind w:left="624" w:hanging="56"/>
      </w:pPr>
      <w:rPr>
        <w:rFonts w:ascii="Arial" w:hAnsi="Arial" w:hint="default"/>
        <w:i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06743B18"/>
    <w:multiLevelType w:val="hybridMultilevel"/>
    <w:tmpl w:val="82D49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14F5C"/>
    <w:multiLevelType w:val="multilevel"/>
    <w:tmpl w:val="FC2A80C0"/>
    <w:lvl w:ilvl="0">
      <w:start w:val="1"/>
      <w:numFmt w:val="upperRoman"/>
      <w:lvlText w:val="%1."/>
      <w:lvlJc w:val="right"/>
      <w:pPr>
        <w:tabs>
          <w:tab w:val="num" w:pos="624"/>
        </w:tabs>
        <w:ind w:left="624" w:hanging="56"/>
      </w:pPr>
      <w:rPr>
        <w:rFonts w:ascii="Arial" w:hAnsi="Arial" w:hint="default"/>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0EA20BED"/>
    <w:multiLevelType w:val="multilevel"/>
    <w:tmpl w:val="C8DC5AE2"/>
    <w:lvl w:ilvl="0">
      <w:start w:val="1"/>
      <w:numFmt w:val="lowerLetter"/>
      <w:lvlText w:val="%1)"/>
      <w:lvlJc w:val="left"/>
      <w:pPr>
        <w:ind w:left="0" w:firstLine="0"/>
      </w:pPr>
      <w:rPr>
        <w:rFonts w:hint="default"/>
      </w:rPr>
    </w:lvl>
    <w:lvl w:ilvl="1">
      <w:start w:val="1"/>
      <w:numFmt w:val="lowerLetter"/>
      <w:lvlText w:val="%2."/>
      <w:lvlJc w:val="left"/>
      <w:pPr>
        <w:ind w:left="928" w:hanging="360"/>
      </w:pPr>
    </w:lvl>
    <w:lvl w:ilvl="2">
      <w:start w:val="1"/>
      <w:numFmt w:val="decimal"/>
      <w:lvlText w:val="%3."/>
      <w:lvlJc w:val="left"/>
      <w:pPr>
        <w:ind w:left="36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987AAE"/>
    <w:multiLevelType w:val="hybridMultilevel"/>
    <w:tmpl w:val="8ABCF23E"/>
    <w:lvl w:ilvl="0" w:tplc="0809000F">
      <w:start w:val="1"/>
      <w:numFmt w:val="decimal"/>
      <w:lvlText w:val="%1."/>
      <w:lvlJc w:val="left"/>
      <w:pPr>
        <w:tabs>
          <w:tab w:val="num" w:pos="416"/>
        </w:tabs>
        <w:ind w:left="416" w:hanging="56"/>
      </w:pPr>
      <w:rPr>
        <w:rFon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C33A0"/>
    <w:multiLevelType w:val="multilevel"/>
    <w:tmpl w:val="7FFEAA50"/>
    <w:lvl w:ilvl="0">
      <w:start w:val="1"/>
      <w:numFmt w:val="upperRoman"/>
      <w:lvlText w:val="%1."/>
      <w:lvlJc w:val="right"/>
      <w:pPr>
        <w:tabs>
          <w:tab w:val="num" w:pos="624"/>
        </w:tabs>
        <w:ind w:left="624" w:hanging="56"/>
      </w:pPr>
      <w:rPr>
        <w:rFonts w:ascii="Arial" w:hAnsi="Arial" w:hint="default"/>
        <w:i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19521549"/>
    <w:multiLevelType w:val="hybridMultilevel"/>
    <w:tmpl w:val="7AEC334E"/>
    <w:lvl w:ilvl="0" w:tplc="A4085F60">
      <w:start w:val="1"/>
      <w:numFmt w:val="bullet"/>
      <w:lvlText w:val=""/>
      <w:lvlJc w:val="left"/>
      <w:pPr>
        <w:ind w:left="73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90760"/>
    <w:multiLevelType w:val="multilevel"/>
    <w:tmpl w:val="30AA762E"/>
    <w:lvl w:ilvl="0">
      <w:start w:val="1"/>
      <w:numFmt w:val="upperRoman"/>
      <w:lvlText w:val="%1."/>
      <w:lvlJc w:val="right"/>
      <w:pPr>
        <w:ind w:left="340" w:hanging="56"/>
      </w:pPr>
      <w:rPr>
        <w:rFonts w:ascii="Arial" w:hAnsi="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2751FE"/>
    <w:multiLevelType w:val="hybridMultilevel"/>
    <w:tmpl w:val="996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6327A"/>
    <w:multiLevelType w:val="multilevel"/>
    <w:tmpl w:val="7FFEAA50"/>
    <w:lvl w:ilvl="0">
      <w:start w:val="1"/>
      <w:numFmt w:val="upperRoman"/>
      <w:lvlText w:val="%1."/>
      <w:lvlJc w:val="right"/>
      <w:pPr>
        <w:tabs>
          <w:tab w:val="num" w:pos="766"/>
        </w:tabs>
        <w:ind w:left="766" w:hanging="56"/>
      </w:pPr>
      <w:rPr>
        <w:rFonts w:ascii="Arial" w:hAnsi="Arial" w:hint="default"/>
        <w:i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1DB137CB"/>
    <w:multiLevelType w:val="hybridMultilevel"/>
    <w:tmpl w:val="4FFCDC2A"/>
    <w:lvl w:ilvl="0" w:tplc="A4085F60">
      <w:start w:val="1"/>
      <w:numFmt w:val="bullet"/>
      <w:lvlText w:val=""/>
      <w:lvlJc w:val="left"/>
      <w:pPr>
        <w:ind w:left="73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D1BA0"/>
    <w:multiLevelType w:val="multilevel"/>
    <w:tmpl w:val="40904CF2"/>
    <w:lvl w:ilvl="0">
      <w:start w:val="1"/>
      <w:numFmt w:val="upperRoman"/>
      <w:lvlText w:val="%1."/>
      <w:lvlJc w:val="right"/>
      <w:pPr>
        <w:tabs>
          <w:tab w:val="num" w:pos="624"/>
        </w:tabs>
        <w:ind w:left="624" w:hanging="56"/>
      </w:pPr>
      <w:rPr>
        <w:rFonts w:ascii="Arial" w:hAnsi="Arial" w:hint="default"/>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23C8783A"/>
    <w:multiLevelType w:val="hybridMultilevel"/>
    <w:tmpl w:val="12D01E72"/>
    <w:lvl w:ilvl="0" w:tplc="3E6AF2C0">
      <w:start w:val="1"/>
      <w:numFmt w:val="upperRoman"/>
      <w:lvlText w:val="%1."/>
      <w:lvlJc w:val="right"/>
      <w:pPr>
        <w:ind w:left="624" w:hanging="56"/>
      </w:pPr>
      <w:rPr>
        <w:rFonts w:ascii="Arial" w:hAnsi="Arial" w:hint="default"/>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F1470"/>
    <w:multiLevelType w:val="multilevel"/>
    <w:tmpl w:val="0C8C9546"/>
    <w:lvl w:ilvl="0">
      <w:start w:val="1"/>
      <w:numFmt w:val="upperRoman"/>
      <w:lvlText w:val="%1."/>
      <w:lvlJc w:val="right"/>
      <w:pPr>
        <w:ind w:left="340" w:hanging="56"/>
      </w:pPr>
      <w:rPr>
        <w:rFonts w:ascii="Arial" w:hAnsi="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F11B9C"/>
    <w:multiLevelType w:val="hybridMultilevel"/>
    <w:tmpl w:val="C8DC5AE2"/>
    <w:lvl w:ilvl="0" w:tplc="69D80622">
      <w:start w:val="1"/>
      <w:numFmt w:val="lowerLetter"/>
      <w:lvlText w:val="%1)"/>
      <w:lvlJc w:val="left"/>
      <w:pPr>
        <w:ind w:left="0" w:firstLine="0"/>
      </w:pPr>
      <w:rPr>
        <w:rFonts w:hint="default"/>
      </w:rPr>
    </w:lvl>
    <w:lvl w:ilvl="1" w:tplc="04090019">
      <w:start w:val="1"/>
      <w:numFmt w:val="lowerLetter"/>
      <w:lvlText w:val="%2."/>
      <w:lvlJc w:val="left"/>
      <w:pPr>
        <w:ind w:left="928" w:hanging="360"/>
      </w:pPr>
    </w:lvl>
    <w:lvl w:ilvl="2" w:tplc="FA5887BC">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E6801"/>
    <w:multiLevelType w:val="hybridMultilevel"/>
    <w:tmpl w:val="7F2C3240"/>
    <w:lvl w:ilvl="0" w:tplc="04090011">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nsid w:val="32300D75"/>
    <w:multiLevelType w:val="hybridMultilevel"/>
    <w:tmpl w:val="7FFEAA50"/>
    <w:lvl w:ilvl="0" w:tplc="562AEC0E">
      <w:start w:val="1"/>
      <w:numFmt w:val="upperRoman"/>
      <w:lvlText w:val="%1."/>
      <w:lvlJc w:val="right"/>
      <w:pPr>
        <w:tabs>
          <w:tab w:val="num" w:pos="624"/>
        </w:tabs>
        <w:ind w:left="624" w:hanging="56"/>
      </w:pPr>
      <w:rPr>
        <w:rFonts w:ascii="Arial" w:hAnsi="Arial" w:hint="default"/>
        <w:i w:val="0"/>
        <w:sz w:val="20"/>
        <w:szCs w:val="2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7464036"/>
    <w:multiLevelType w:val="hybridMultilevel"/>
    <w:tmpl w:val="0C8C9546"/>
    <w:lvl w:ilvl="0" w:tplc="37AAE464">
      <w:start w:val="1"/>
      <w:numFmt w:val="upperRoman"/>
      <w:lvlText w:val="%1."/>
      <w:lvlJc w:val="right"/>
      <w:pPr>
        <w:ind w:left="340" w:hanging="56"/>
      </w:pPr>
      <w:rPr>
        <w:rFonts w:ascii="Arial" w:hAnsi="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77B14"/>
    <w:multiLevelType w:val="hybridMultilevel"/>
    <w:tmpl w:val="F7701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F74B2"/>
    <w:multiLevelType w:val="hybridMultilevel"/>
    <w:tmpl w:val="40904CF2"/>
    <w:lvl w:ilvl="0" w:tplc="4296EEEC">
      <w:start w:val="1"/>
      <w:numFmt w:val="upperRoman"/>
      <w:lvlText w:val="%1."/>
      <w:lvlJc w:val="right"/>
      <w:pPr>
        <w:tabs>
          <w:tab w:val="num" w:pos="624"/>
        </w:tabs>
        <w:ind w:left="624" w:hanging="56"/>
      </w:pPr>
      <w:rPr>
        <w:rFonts w:ascii="Arial" w:hAnsi="Arial" w:hint="default"/>
        <w:sz w:val="20"/>
        <w:szCs w:val="20"/>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DB80CAE"/>
    <w:multiLevelType w:val="hybridMultilevel"/>
    <w:tmpl w:val="30AA762E"/>
    <w:lvl w:ilvl="0" w:tplc="8D601CD6">
      <w:start w:val="1"/>
      <w:numFmt w:val="upperRoman"/>
      <w:lvlText w:val="%1."/>
      <w:lvlJc w:val="right"/>
      <w:pPr>
        <w:ind w:left="340" w:hanging="56"/>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92B50"/>
    <w:multiLevelType w:val="multilevel"/>
    <w:tmpl w:val="BB2E8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3985B4C"/>
    <w:multiLevelType w:val="hybridMultilevel"/>
    <w:tmpl w:val="689A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20B04"/>
    <w:multiLevelType w:val="hybridMultilevel"/>
    <w:tmpl w:val="9E4689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485F2540"/>
    <w:multiLevelType w:val="multilevel"/>
    <w:tmpl w:val="996AE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A364515"/>
    <w:multiLevelType w:val="hybridMultilevel"/>
    <w:tmpl w:val="8892A85E"/>
    <w:lvl w:ilvl="0" w:tplc="4BA212A6">
      <w:start w:val="1"/>
      <w:numFmt w:val="upperRoman"/>
      <w:lvlText w:val="%1."/>
      <w:lvlJc w:val="right"/>
      <w:pPr>
        <w:tabs>
          <w:tab w:val="num" w:pos="624"/>
        </w:tabs>
        <w:ind w:left="624" w:hanging="56"/>
      </w:pPr>
      <w:rPr>
        <w:rFonts w:ascii="Arial" w:hAnsi="Arial" w:hint="default"/>
        <w:sz w:val="20"/>
        <w:szCs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4BF77C7E"/>
    <w:multiLevelType w:val="hybridMultilevel"/>
    <w:tmpl w:val="80C800BC"/>
    <w:lvl w:ilvl="0" w:tplc="4BA212A6">
      <w:start w:val="1"/>
      <w:numFmt w:val="upperRoman"/>
      <w:lvlText w:val="%1."/>
      <w:lvlJc w:val="right"/>
      <w:pPr>
        <w:tabs>
          <w:tab w:val="num" w:pos="416"/>
        </w:tabs>
        <w:ind w:left="416" w:hanging="56"/>
      </w:pPr>
      <w:rPr>
        <w:rFonts w:ascii="Arial" w:hAnsi="Aria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FF2D55"/>
    <w:multiLevelType w:val="hybridMultilevel"/>
    <w:tmpl w:val="80C800BC"/>
    <w:lvl w:ilvl="0" w:tplc="4BA212A6">
      <w:start w:val="1"/>
      <w:numFmt w:val="upperRoman"/>
      <w:lvlText w:val="%1."/>
      <w:lvlJc w:val="right"/>
      <w:pPr>
        <w:tabs>
          <w:tab w:val="num" w:pos="416"/>
        </w:tabs>
        <w:ind w:left="416" w:hanging="56"/>
      </w:pPr>
      <w:rPr>
        <w:rFonts w:ascii="Arial" w:hAnsi="Aria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F853E0"/>
    <w:multiLevelType w:val="hybridMultilevel"/>
    <w:tmpl w:val="E93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062"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710AF"/>
    <w:multiLevelType w:val="multilevel"/>
    <w:tmpl w:val="F7701E5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A8235A"/>
    <w:multiLevelType w:val="hybridMultilevel"/>
    <w:tmpl w:val="49B07A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23275E4"/>
    <w:multiLevelType w:val="multilevel"/>
    <w:tmpl w:val="A6C2D29C"/>
    <w:lvl w:ilvl="0">
      <w:start w:val="1"/>
      <w:numFmt w:val="upperRoman"/>
      <w:lvlText w:val="%1."/>
      <w:lvlJc w:val="right"/>
      <w:pPr>
        <w:tabs>
          <w:tab w:val="num" w:pos="416"/>
        </w:tabs>
        <w:ind w:left="416" w:hanging="56"/>
      </w:pPr>
      <w:rPr>
        <w:rFonts w:ascii="Arial" w:hAnsi="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706B3A"/>
    <w:multiLevelType w:val="hybridMultilevel"/>
    <w:tmpl w:val="48D6B134"/>
    <w:lvl w:ilvl="0" w:tplc="CA72F182">
      <w:start w:val="1"/>
      <w:numFmt w:val="bullet"/>
      <w:lvlText w:val=""/>
      <w:lvlJc w:val="left"/>
      <w:pPr>
        <w:ind w:left="73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27781"/>
    <w:multiLevelType w:val="multilevel"/>
    <w:tmpl w:val="82D49B5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2B6B65"/>
    <w:multiLevelType w:val="hybridMultilevel"/>
    <w:tmpl w:val="A6C2D29C"/>
    <w:lvl w:ilvl="0" w:tplc="D35E603C">
      <w:start w:val="1"/>
      <w:numFmt w:val="upperRoman"/>
      <w:lvlText w:val="%1."/>
      <w:lvlJc w:val="right"/>
      <w:pPr>
        <w:tabs>
          <w:tab w:val="num" w:pos="416"/>
        </w:tabs>
        <w:ind w:left="416" w:hanging="56"/>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94C2A"/>
    <w:multiLevelType w:val="hybridMultilevel"/>
    <w:tmpl w:val="BB2E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5125D"/>
    <w:multiLevelType w:val="hybridMultilevel"/>
    <w:tmpl w:val="5FE2CA52"/>
    <w:lvl w:ilvl="0" w:tplc="873455E6">
      <w:start w:val="1"/>
      <w:numFmt w:val="upperRoman"/>
      <w:lvlText w:val="%1."/>
      <w:lvlJc w:val="right"/>
      <w:pPr>
        <w:tabs>
          <w:tab w:val="num" w:pos="624"/>
        </w:tabs>
        <w:ind w:left="624" w:hanging="56"/>
      </w:pPr>
      <w:rPr>
        <w:rFonts w:ascii="Arial" w:hAnsi="Arial" w:hint="default"/>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49A0905"/>
    <w:multiLevelType w:val="hybridMultilevel"/>
    <w:tmpl w:val="70586BD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560FE0"/>
    <w:multiLevelType w:val="hybridMultilevel"/>
    <w:tmpl w:val="4CF014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3"/>
  </w:num>
  <w:num w:numId="4">
    <w:abstractNumId w:val="10"/>
  </w:num>
  <w:num w:numId="5">
    <w:abstractNumId w:val="1"/>
  </w:num>
  <w:num w:numId="6">
    <w:abstractNumId w:val="16"/>
  </w:num>
  <w:num w:numId="7">
    <w:abstractNumId w:val="17"/>
  </w:num>
  <w:num w:numId="8">
    <w:abstractNumId w:val="24"/>
  </w:num>
  <w:num w:numId="9">
    <w:abstractNumId w:val="37"/>
  </w:num>
  <w:num w:numId="10">
    <w:abstractNumId w:val="22"/>
  </w:num>
  <w:num w:numId="11">
    <w:abstractNumId w:val="19"/>
  </w:num>
  <w:num w:numId="12">
    <w:abstractNumId w:val="15"/>
  </w:num>
  <w:num w:numId="13">
    <w:abstractNumId w:val="18"/>
  </w:num>
  <w:num w:numId="14">
    <w:abstractNumId w:val="35"/>
  </w:num>
  <w:num w:numId="15">
    <w:abstractNumId w:val="36"/>
  </w:num>
  <w:num w:numId="16">
    <w:abstractNumId w:val="33"/>
  </w:num>
  <w:num w:numId="17">
    <w:abstractNumId w:val="38"/>
  </w:num>
  <w:num w:numId="18">
    <w:abstractNumId w:val="21"/>
  </w:num>
  <w:num w:numId="19">
    <w:abstractNumId w:val="9"/>
  </w:num>
  <w:num w:numId="20">
    <w:abstractNumId w:val="14"/>
  </w:num>
  <w:num w:numId="21">
    <w:abstractNumId w:val="31"/>
  </w:num>
  <w:num w:numId="22">
    <w:abstractNumId w:val="27"/>
  </w:num>
  <w:num w:numId="23">
    <w:abstractNumId w:val="7"/>
  </w:num>
  <w:num w:numId="24">
    <w:abstractNumId w:val="2"/>
  </w:num>
  <w:num w:numId="25">
    <w:abstractNumId w:val="13"/>
  </w:num>
  <w:num w:numId="26">
    <w:abstractNumId w:val="30"/>
  </w:num>
  <w:num w:numId="27">
    <w:abstractNumId w:val="23"/>
  </w:num>
  <w:num w:numId="28">
    <w:abstractNumId w:val="29"/>
  </w:num>
  <w:num w:numId="29">
    <w:abstractNumId w:val="4"/>
  </w:num>
  <w:num w:numId="30">
    <w:abstractNumId w:val="11"/>
  </w:num>
  <w:num w:numId="31">
    <w:abstractNumId w:val="39"/>
  </w:num>
  <w:num w:numId="32">
    <w:abstractNumId w:val="5"/>
  </w:num>
  <w:num w:numId="33">
    <w:abstractNumId w:val="26"/>
  </w:num>
  <w:num w:numId="34">
    <w:abstractNumId w:val="28"/>
  </w:num>
  <w:num w:numId="35">
    <w:abstractNumId w:val="6"/>
  </w:num>
  <w:num w:numId="36">
    <w:abstractNumId w:val="34"/>
  </w:num>
  <w:num w:numId="37">
    <w:abstractNumId w:val="8"/>
  </w:num>
  <w:num w:numId="38">
    <w:abstractNumId w:val="12"/>
  </w:num>
  <w:num w:numId="39">
    <w:abstractNumId w:val="32"/>
  </w:num>
  <w:num w:numId="40">
    <w:abstractNumId w:val="0"/>
  </w:num>
  <w:num w:numId="41">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55"/>
    <w:rsid w:val="0000265C"/>
    <w:rsid w:val="000354C8"/>
    <w:rsid w:val="00044974"/>
    <w:rsid w:val="00071BDE"/>
    <w:rsid w:val="000756F0"/>
    <w:rsid w:val="00084D8E"/>
    <w:rsid w:val="00086351"/>
    <w:rsid w:val="00092365"/>
    <w:rsid w:val="00095193"/>
    <w:rsid w:val="00095FF4"/>
    <w:rsid w:val="000A61C5"/>
    <w:rsid w:val="000B7A28"/>
    <w:rsid w:val="000D178D"/>
    <w:rsid w:val="000D54F9"/>
    <w:rsid w:val="000E5E28"/>
    <w:rsid w:val="000F330F"/>
    <w:rsid w:val="001009BC"/>
    <w:rsid w:val="00100C32"/>
    <w:rsid w:val="00106D39"/>
    <w:rsid w:val="00107584"/>
    <w:rsid w:val="0013066B"/>
    <w:rsid w:val="001542AA"/>
    <w:rsid w:val="00154DFA"/>
    <w:rsid w:val="001612B3"/>
    <w:rsid w:val="001612E7"/>
    <w:rsid w:val="00164AE2"/>
    <w:rsid w:val="00184882"/>
    <w:rsid w:val="00187157"/>
    <w:rsid w:val="001903A4"/>
    <w:rsid w:val="001910B4"/>
    <w:rsid w:val="00192FBD"/>
    <w:rsid w:val="00193D42"/>
    <w:rsid w:val="001A29C4"/>
    <w:rsid w:val="001B45C7"/>
    <w:rsid w:val="001B733B"/>
    <w:rsid w:val="001C2273"/>
    <w:rsid w:val="001C7C49"/>
    <w:rsid w:val="001D03D4"/>
    <w:rsid w:val="001E0252"/>
    <w:rsid w:val="001E55BB"/>
    <w:rsid w:val="0020081B"/>
    <w:rsid w:val="002009D2"/>
    <w:rsid w:val="002014E6"/>
    <w:rsid w:val="00202C1F"/>
    <w:rsid w:val="00215782"/>
    <w:rsid w:val="00225E55"/>
    <w:rsid w:val="00230595"/>
    <w:rsid w:val="002344A6"/>
    <w:rsid w:val="00243946"/>
    <w:rsid w:val="002463CA"/>
    <w:rsid w:val="00246B63"/>
    <w:rsid w:val="002572E9"/>
    <w:rsid w:val="00260CA9"/>
    <w:rsid w:val="00262552"/>
    <w:rsid w:val="00263434"/>
    <w:rsid w:val="00271481"/>
    <w:rsid w:val="002771A7"/>
    <w:rsid w:val="00292B03"/>
    <w:rsid w:val="00293242"/>
    <w:rsid w:val="002A09B0"/>
    <w:rsid w:val="002A0BE8"/>
    <w:rsid w:val="002A210D"/>
    <w:rsid w:val="002B47CC"/>
    <w:rsid w:val="002B4B18"/>
    <w:rsid w:val="002B4FD3"/>
    <w:rsid w:val="002B509A"/>
    <w:rsid w:val="002C0309"/>
    <w:rsid w:val="002C0512"/>
    <w:rsid w:val="002C0F66"/>
    <w:rsid w:val="002D15DE"/>
    <w:rsid w:val="002D1E19"/>
    <w:rsid w:val="002D34E7"/>
    <w:rsid w:val="002E7015"/>
    <w:rsid w:val="002E7B91"/>
    <w:rsid w:val="0030169D"/>
    <w:rsid w:val="00307C95"/>
    <w:rsid w:val="00313927"/>
    <w:rsid w:val="00316483"/>
    <w:rsid w:val="00316668"/>
    <w:rsid w:val="00320BD6"/>
    <w:rsid w:val="00322AAD"/>
    <w:rsid w:val="00323FEC"/>
    <w:rsid w:val="0034232F"/>
    <w:rsid w:val="003453B0"/>
    <w:rsid w:val="003459FB"/>
    <w:rsid w:val="0036132A"/>
    <w:rsid w:val="00367563"/>
    <w:rsid w:val="00372049"/>
    <w:rsid w:val="0037251C"/>
    <w:rsid w:val="003742DE"/>
    <w:rsid w:val="00380D51"/>
    <w:rsid w:val="00383C8F"/>
    <w:rsid w:val="003933EB"/>
    <w:rsid w:val="003B10C5"/>
    <w:rsid w:val="003C259F"/>
    <w:rsid w:val="003C26DF"/>
    <w:rsid w:val="003E375E"/>
    <w:rsid w:val="003E7564"/>
    <w:rsid w:val="003F1196"/>
    <w:rsid w:val="003F6EA3"/>
    <w:rsid w:val="003F73E3"/>
    <w:rsid w:val="00402BAA"/>
    <w:rsid w:val="00412066"/>
    <w:rsid w:val="00412975"/>
    <w:rsid w:val="00412AE3"/>
    <w:rsid w:val="00413BF3"/>
    <w:rsid w:val="00424CDF"/>
    <w:rsid w:val="00430F9B"/>
    <w:rsid w:val="0043302B"/>
    <w:rsid w:val="00436250"/>
    <w:rsid w:val="00444713"/>
    <w:rsid w:val="00445429"/>
    <w:rsid w:val="0044743E"/>
    <w:rsid w:val="00453D94"/>
    <w:rsid w:val="00457369"/>
    <w:rsid w:val="00457840"/>
    <w:rsid w:val="00465ADE"/>
    <w:rsid w:val="004724A8"/>
    <w:rsid w:val="00482171"/>
    <w:rsid w:val="0048222A"/>
    <w:rsid w:val="004A1898"/>
    <w:rsid w:val="004B2EC4"/>
    <w:rsid w:val="004B520A"/>
    <w:rsid w:val="004D6A0C"/>
    <w:rsid w:val="004E68D6"/>
    <w:rsid w:val="004E7BA4"/>
    <w:rsid w:val="004F36CA"/>
    <w:rsid w:val="004F4119"/>
    <w:rsid w:val="00501AB6"/>
    <w:rsid w:val="00507361"/>
    <w:rsid w:val="00510A66"/>
    <w:rsid w:val="005133EC"/>
    <w:rsid w:val="00521F78"/>
    <w:rsid w:val="005234AC"/>
    <w:rsid w:val="00525A80"/>
    <w:rsid w:val="00525F3C"/>
    <w:rsid w:val="005300F1"/>
    <w:rsid w:val="00536F88"/>
    <w:rsid w:val="00541F81"/>
    <w:rsid w:val="00544767"/>
    <w:rsid w:val="005627A8"/>
    <w:rsid w:val="00565095"/>
    <w:rsid w:val="0056537C"/>
    <w:rsid w:val="00565A4C"/>
    <w:rsid w:val="0057586C"/>
    <w:rsid w:val="00585AD7"/>
    <w:rsid w:val="00586B4A"/>
    <w:rsid w:val="00587456"/>
    <w:rsid w:val="00597337"/>
    <w:rsid w:val="005A2AD2"/>
    <w:rsid w:val="005A49EE"/>
    <w:rsid w:val="005A769F"/>
    <w:rsid w:val="005B79B4"/>
    <w:rsid w:val="005C44F4"/>
    <w:rsid w:val="005C7436"/>
    <w:rsid w:val="005D02FE"/>
    <w:rsid w:val="005D4ED9"/>
    <w:rsid w:val="005D6095"/>
    <w:rsid w:val="005D67B4"/>
    <w:rsid w:val="005E048B"/>
    <w:rsid w:val="005E1740"/>
    <w:rsid w:val="005E3FB5"/>
    <w:rsid w:val="005F2A48"/>
    <w:rsid w:val="005F2B55"/>
    <w:rsid w:val="005F726E"/>
    <w:rsid w:val="00603E9D"/>
    <w:rsid w:val="006045D0"/>
    <w:rsid w:val="0060726F"/>
    <w:rsid w:val="00614972"/>
    <w:rsid w:val="00615956"/>
    <w:rsid w:val="00623422"/>
    <w:rsid w:val="00624BEB"/>
    <w:rsid w:val="006304D7"/>
    <w:rsid w:val="0063375A"/>
    <w:rsid w:val="006368BB"/>
    <w:rsid w:val="006373EE"/>
    <w:rsid w:val="00661BBA"/>
    <w:rsid w:val="00662DE9"/>
    <w:rsid w:val="006714F8"/>
    <w:rsid w:val="0067721C"/>
    <w:rsid w:val="0069340F"/>
    <w:rsid w:val="006A2185"/>
    <w:rsid w:val="006A4266"/>
    <w:rsid w:val="006C370F"/>
    <w:rsid w:val="006C6271"/>
    <w:rsid w:val="006D7C2D"/>
    <w:rsid w:val="006F4117"/>
    <w:rsid w:val="0071074A"/>
    <w:rsid w:val="007113FC"/>
    <w:rsid w:val="00715FB2"/>
    <w:rsid w:val="00722D41"/>
    <w:rsid w:val="007243AA"/>
    <w:rsid w:val="007335DE"/>
    <w:rsid w:val="007562E6"/>
    <w:rsid w:val="007563AE"/>
    <w:rsid w:val="00761C39"/>
    <w:rsid w:val="0076258E"/>
    <w:rsid w:val="00764B4F"/>
    <w:rsid w:val="00765FFB"/>
    <w:rsid w:val="00777FBA"/>
    <w:rsid w:val="00781F75"/>
    <w:rsid w:val="00790545"/>
    <w:rsid w:val="007909A3"/>
    <w:rsid w:val="0079114E"/>
    <w:rsid w:val="007B3E1A"/>
    <w:rsid w:val="007B6A40"/>
    <w:rsid w:val="007B6A9D"/>
    <w:rsid w:val="007C38D0"/>
    <w:rsid w:val="007C6588"/>
    <w:rsid w:val="007D08DD"/>
    <w:rsid w:val="007D782A"/>
    <w:rsid w:val="007E1E77"/>
    <w:rsid w:val="007E2B9E"/>
    <w:rsid w:val="007E6F4B"/>
    <w:rsid w:val="007F2275"/>
    <w:rsid w:val="00810BFB"/>
    <w:rsid w:val="0081612A"/>
    <w:rsid w:val="00842903"/>
    <w:rsid w:val="00853CE0"/>
    <w:rsid w:val="00853F88"/>
    <w:rsid w:val="00857E38"/>
    <w:rsid w:val="00875E55"/>
    <w:rsid w:val="008768A5"/>
    <w:rsid w:val="00881431"/>
    <w:rsid w:val="00885888"/>
    <w:rsid w:val="008879BE"/>
    <w:rsid w:val="00892BBF"/>
    <w:rsid w:val="008A61E0"/>
    <w:rsid w:val="008B3BD9"/>
    <w:rsid w:val="008C6189"/>
    <w:rsid w:val="008C632B"/>
    <w:rsid w:val="008D3977"/>
    <w:rsid w:val="008D3AFE"/>
    <w:rsid w:val="008E7D6E"/>
    <w:rsid w:val="00903438"/>
    <w:rsid w:val="00905579"/>
    <w:rsid w:val="0090570A"/>
    <w:rsid w:val="00921267"/>
    <w:rsid w:val="00935B7F"/>
    <w:rsid w:val="009547F4"/>
    <w:rsid w:val="00956AD0"/>
    <w:rsid w:val="00957BEC"/>
    <w:rsid w:val="00962612"/>
    <w:rsid w:val="0096341E"/>
    <w:rsid w:val="009650A9"/>
    <w:rsid w:val="0097474A"/>
    <w:rsid w:val="009751BD"/>
    <w:rsid w:val="009773F8"/>
    <w:rsid w:val="00990750"/>
    <w:rsid w:val="00990FF8"/>
    <w:rsid w:val="009A43A6"/>
    <w:rsid w:val="009A4B69"/>
    <w:rsid w:val="009B2774"/>
    <w:rsid w:val="009B36DB"/>
    <w:rsid w:val="009B73B1"/>
    <w:rsid w:val="009C313E"/>
    <w:rsid w:val="009C749F"/>
    <w:rsid w:val="009D27CC"/>
    <w:rsid w:val="009E3F94"/>
    <w:rsid w:val="009E4FB1"/>
    <w:rsid w:val="009F231C"/>
    <w:rsid w:val="00A009F8"/>
    <w:rsid w:val="00A04AB7"/>
    <w:rsid w:val="00A07189"/>
    <w:rsid w:val="00A12B9A"/>
    <w:rsid w:val="00A177AD"/>
    <w:rsid w:val="00A178C8"/>
    <w:rsid w:val="00A4005A"/>
    <w:rsid w:val="00A40450"/>
    <w:rsid w:val="00A4050B"/>
    <w:rsid w:val="00A4313B"/>
    <w:rsid w:val="00A563FA"/>
    <w:rsid w:val="00A66AE0"/>
    <w:rsid w:val="00A70BED"/>
    <w:rsid w:val="00A7383B"/>
    <w:rsid w:val="00A76E56"/>
    <w:rsid w:val="00AA6888"/>
    <w:rsid w:val="00AB3DF6"/>
    <w:rsid w:val="00AB705B"/>
    <w:rsid w:val="00AC0936"/>
    <w:rsid w:val="00AC1314"/>
    <w:rsid w:val="00AC3132"/>
    <w:rsid w:val="00AC78AA"/>
    <w:rsid w:val="00AE03A2"/>
    <w:rsid w:val="00AE0A9B"/>
    <w:rsid w:val="00AE5B3A"/>
    <w:rsid w:val="00AE74CE"/>
    <w:rsid w:val="00AF4079"/>
    <w:rsid w:val="00AF7802"/>
    <w:rsid w:val="00B0044E"/>
    <w:rsid w:val="00B017F7"/>
    <w:rsid w:val="00B05AB4"/>
    <w:rsid w:val="00B07598"/>
    <w:rsid w:val="00B1668F"/>
    <w:rsid w:val="00B218F9"/>
    <w:rsid w:val="00B26AE3"/>
    <w:rsid w:val="00B3266A"/>
    <w:rsid w:val="00B34DC6"/>
    <w:rsid w:val="00B410AC"/>
    <w:rsid w:val="00B64141"/>
    <w:rsid w:val="00B64444"/>
    <w:rsid w:val="00B75B55"/>
    <w:rsid w:val="00B847A7"/>
    <w:rsid w:val="00B86975"/>
    <w:rsid w:val="00B916FB"/>
    <w:rsid w:val="00BA2319"/>
    <w:rsid w:val="00BA5E4F"/>
    <w:rsid w:val="00BA6C82"/>
    <w:rsid w:val="00BB0E74"/>
    <w:rsid w:val="00BB2368"/>
    <w:rsid w:val="00BB64C9"/>
    <w:rsid w:val="00BC0E9F"/>
    <w:rsid w:val="00BC62A7"/>
    <w:rsid w:val="00BF2CE4"/>
    <w:rsid w:val="00C018D9"/>
    <w:rsid w:val="00C05825"/>
    <w:rsid w:val="00C12AC5"/>
    <w:rsid w:val="00C16E33"/>
    <w:rsid w:val="00C36D6C"/>
    <w:rsid w:val="00C46978"/>
    <w:rsid w:val="00C52308"/>
    <w:rsid w:val="00C568CA"/>
    <w:rsid w:val="00C73B8D"/>
    <w:rsid w:val="00C76F6E"/>
    <w:rsid w:val="00C77240"/>
    <w:rsid w:val="00C8540F"/>
    <w:rsid w:val="00C86362"/>
    <w:rsid w:val="00CC69EC"/>
    <w:rsid w:val="00CD41A3"/>
    <w:rsid w:val="00CD57AC"/>
    <w:rsid w:val="00CF7ED6"/>
    <w:rsid w:val="00D06720"/>
    <w:rsid w:val="00D07413"/>
    <w:rsid w:val="00D248DE"/>
    <w:rsid w:val="00D37666"/>
    <w:rsid w:val="00D404D2"/>
    <w:rsid w:val="00D43D28"/>
    <w:rsid w:val="00D5440C"/>
    <w:rsid w:val="00D81181"/>
    <w:rsid w:val="00D82B39"/>
    <w:rsid w:val="00D86436"/>
    <w:rsid w:val="00D90FE0"/>
    <w:rsid w:val="00D937E2"/>
    <w:rsid w:val="00D94D9C"/>
    <w:rsid w:val="00DA2A9B"/>
    <w:rsid w:val="00DA4398"/>
    <w:rsid w:val="00DA6B83"/>
    <w:rsid w:val="00DA6E0F"/>
    <w:rsid w:val="00DB01EB"/>
    <w:rsid w:val="00DB033B"/>
    <w:rsid w:val="00DC21C2"/>
    <w:rsid w:val="00DD4D25"/>
    <w:rsid w:val="00DE1A96"/>
    <w:rsid w:val="00DE3802"/>
    <w:rsid w:val="00DE64D2"/>
    <w:rsid w:val="00DF57F2"/>
    <w:rsid w:val="00E05D57"/>
    <w:rsid w:val="00E11C4D"/>
    <w:rsid w:val="00E11F6D"/>
    <w:rsid w:val="00E1364C"/>
    <w:rsid w:val="00E13BB0"/>
    <w:rsid w:val="00E21401"/>
    <w:rsid w:val="00E277AD"/>
    <w:rsid w:val="00E33FCA"/>
    <w:rsid w:val="00E408B2"/>
    <w:rsid w:val="00E46A00"/>
    <w:rsid w:val="00E51254"/>
    <w:rsid w:val="00E51EE6"/>
    <w:rsid w:val="00E549BD"/>
    <w:rsid w:val="00E54EAA"/>
    <w:rsid w:val="00E55BF4"/>
    <w:rsid w:val="00E5631E"/>
    <w:rsid w:val="00E74539"/>
    <w:rsid w:val="00E8326D"/>
    <w:rsid w:val="00E96408"/>
    <w:rsid w:val="00E97757"/>
    <w:rsid w:val="00EA3948"/>
    <w:rsid w:val="00EB0563"/>
    <w:rsid w:val="00EC46E3"/>
    <w:rsid w:val="00ED620F"/>
    <w:rsid w:val="00EF59CD"/>
    <w:rsid w:val="00F07007"/>
    <w:rsid w:val="00F163BD"/>
    <w:rsid w:val="00F16740"/>
    <w:rsid w:val="00F17E63"/>
    <w:rsid w:val="00F21284"/>
    <w:rsid w:val="00F22487"/>
    <w:rsid w:val="00F2709C"/>
    <w:rsid w:val="00F3326B"/>
    <w:rsid w:val="00F34933"/>
    <w:rsid w:val="00F41D05"/>
    <w:rsid w:val="00F60B2F"/>
    <w:rsid w:val="00F62D70"/>
    <w:rsid w:val="00F64A35"/>
    <w:rsid w:val="00F72501"/>
    <w:rsid w:val="00F72EB3"/>
    <w:rsid w:val="00F75240"/>
    <w:rsid w:val="00F7780F"/>
    <w:rsid w:val="00F864ED"/>
    <w:rsid w:val="00F9339E"/>
    <w:rsid w:val="00F946AA"/>
    <w:rsid w:val="00FA1BD2"/>
    <w:rsid w:val="00FA4298"/>
    <w:rsid w:val="00FB0938"/>
    <w:rsid w:val="00FB51D6"/>
    <w:rsid w:val="00FC7258"/>
    <w:rsid w:val="00FD55E9"/>
    <w:rsid w:val="00FE3937"/>
    <w:rsid w:val="00FE41DA"/>
    <w:rsid w:val="00FF5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7A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7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E8326D"/>
    <w:pPr>
      <w:keepNext/>
      <w:spacing w:line="360" w:lineRule="auto"/>
      <w:outlineLvl w:val="1"/>
    </w:pPr>
    <w:rPr>
      <w:rFonts w:cs="Arial Unicode MS"/>
      <w:b/>
      <w:bCs/>
      <w:i/>
      <w:szCs w:val="20"/>
      <w:u w:color="000000"/>
      <w:lang w:val="en-US" w:eastAsia="en-GB"/>
    </w:rPr>
  </w:style>
  <w:style w:type="paragraph" w:styleId="Heading9">
    <w:name w:val="heading 9"/>
    <w:basedOn w:val="Normal"/>
    <w:next w:val="Normal"/>
    <w:link w:val="Heading9Char"/>
    <w:uiPriority w:val="9"/>
    <w:semiHidden/>
    <w:unhideWhenUsed/>
    <w:qFormat/>
    <w:rsid w:val="006368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26D"/>
    <w:rPr>
      <w:rFonts w:cs="Arial Unicode MS"/>
      <w:b/>
      <w:bCs/>
      <w:i/>
      <w:szCs w:val="20"/>
      <w:u w:color="000000"/>
      <w:lang w:val="en-US" w:eastAsia="en-GB"/>
    </w:rPr>
  </w:style>
  <w:style w:type="paragraph" w:customStyle="1" w:styleId="Style1">
    <w:name w:val="Style1"/>
    <w:basedOn w:val="Normal"/>
    <w:rsid w:val="00BC62A7"/>
    <w:pPr>
      <w:spacing w:line="360" w:lineRule="auto"/>
    </w:pPr>
    <w:rPr>
      <w:bCs/>
      <w:i/>
      <w:iCs/>
    </w:rPr>
  </w:style>
  <w:style w:type="paragraph" w:customStyle="1" w:styleId="Style2">
    <w:name w:val="Style2"/>
    <w:basedOn w:val="Normal"/>
    <w:autoRedefine/>
    <w:qFormat/>
    <w:rsid w:val="00453D94"/>
    <w:pPr>
      <w:spacing w:line="360" w:lineRule="auto"/>
    </w:pPr>
    <w:rPr>
      <w:i/>
      <w:iCs/>
      <w:sz w:val="28"/>
    </w:rPr>
  </w:style>
  <w:style w:type="paragraph" w:customStyle="1" w:styleId="Heading31">
    <w:name w:val="Heading 31"/>
    <w:basedOn w:val="Heading9"/>
    <w:qFormat/>
    <w:rsid w:val="006368BB"/>
    <w:rPr>
      <w:rFonts w:ascii="Arial" w:hAnsi="Arial"/>
      <w:b/>
      <w:i w:val="0"/>
      <w:sz w:val="28"/>
    </w:rPr>
  </w:style>
  <w:style w:type="character" w:customStyle="1" w:styleId="Heading9Char">
    <w:name w:val="Heading 9 Char"/>
    <w:basedOn w:val="DefaultParagraphFont"/>
    <w:link w:val="Heading9"/>
    <w:uiPriority w:val="9"/>
    <w:semiHidden/>
    <w:rsid w:val="00636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25E55"/>
    <w:pPr>
      <w:ind w:left="720"/>
      <w:contextualSpacing/>
    </w:pPr>
  </w:style>
  <w:style w:type="paragraph" w:styleId="NormalWeb">
    <w:name w:val="Normal (Web)"/>
    <w:basedOn w:val="Normal"/>
    <w:uiPriority w:val="99"/>
    <w:unhideWhenUsed/>
    <w:rsid w:val="00F64A3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A210D"/>
    <w:rPr>
      <w:color w:val="0000FF" w:themeColor="hyperlink"/>
      <w:u w:val="single"/>
    </w:rPr>
  </w:style>
  <w:style w:type="character" w:styleId="FollowedHyperlink">
    <w:name w:val="FollowedHyperlink"/>
    <w:basedOn w:val="DefaultParagraphFont"/>
    <w:uiPriority w:val="99"/>
    <w:semiHidden/>
    <w:unhideWhenUsed/>
    <w:rsid w:val="00246B63"/>
    <w:rPr>
      <w:color w:val="800080" w:themeColor="followedHyperlink"/>
      <w:u w:val="single"/>
    </w:rPr>
  </w:style>
  <w:style w:type="table" w:styleId="TableGrid">
    <w:name w:val="Table Grid"/>
    <w:basedOn w:val="TableNormal"/>
    <w:uiPriority w:val="59"/>
    <w:rsid w:val="0059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57BEC"/>
  </w:style>
  <w:style w:type="character" w:customStyle="1" w:styleId="FootnoteTextChar">
    <w:name w:val="Footnote Text Char"/>
    <w:basedOn w:val="DefaultParagraphFont"/>
    <w:link w:val="FootnoteText"/>
    <w:uiPriority w:val="99"/>
    <w:rsid w:val="00957BEC"/>
  </w:style>
  <w:style w:type="character" w:styleId="FootnoteReference">
    <w:name w:val="footnote reference"/>
    <w:basedOn w:val="DefaultParagraphFont"/>
    <w:uiPriority w:val="99"/>
    <w:unhideWhenUsed/>
    <w:rsid w:val="00957BEC"/>
    <w:rPr>
      <w:vertAlign w:val="superscript"/>
    </w:rPr>
  </w:style>
  <w:style w:type="paragraph" w:styleId="Footer">
    <w:name w:val="footer"/>
    <w:basedOn w:val="Normal"/>
    <w:link w:val="FooterChar"/>
    <w:uiPriority w:val="99"/>
    <w:unhideWhenUsed/>
    <w:rsid w:val="00184882"/>
    <w:pPr>
      <w:tabs>
        <w:tab w:val="center" w:pos="4320"/>
        <w:tab w:val="right" w:pos="8640"/>
      </w:tabs>
    </w:pPr>
  </w:style>
  <w:style w:type="character" w:customStyle="1" w:styleId="FooterChar">
    <w:name w:val="Footer Char"/>
    <w:basedOn w:val="DefaultParagraphFont"/>
    <w:link w:val="Footer"/>
    <w:uiPriority w:val="99"/>
    <w:rsid w:val="00184882"/>
  </w:style>
  <w:style w:type="character" w:styleId="PageNumber">
    <w:name w:val="page number"/>
    <w:basedOn w:val="DefaultParagraphFont"/>
    <w:uiPriority w:val="99"/>
    <w:semiHidden/>
    <w:unhideWhenUsed/>
    <w:rsid w:val="00184882"/>
  </w:style>
  <w:style w:type="character" w:customStyle="1" w:styleId="apple-converted-space">
    <w:name w:val="apple-converted-space"/>
    <w:basedOn w:val="DefaultParagraphFont"/>
    <w:rsid w:val="005D4ED9"/>
  </w:style>
  <w:style w:type="paragraph" w:styleId="BalloonText">
    <w:name w:val="Balloon Text"/>
    <w:basedOn w:val="Normal"/>
    <w:link w:val="BalloonTextChar"/>
    <w:uiPriority w:val="99"/>
    <w:semiHidden/>
    <w:unhideWhenUsed/>
    <w:rsid w:val="00A56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3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77AD"/>
    <w:rPr>
      <w:sz w:val="16"/>
      <w:szCs w:val="16"/>
    </w:rPr>
  </w:style>
  <w:style w:type="paragraph" w:styleId="CommentText">
    <w:name w:val="annotation text"/>
    <w:basedOn w:val="Normal"/>
    <w:link w:val="CommentTextChar"/>
    <w:uiPriority w:val="99"/>
    <w:semiHidden/>
    <w:unhideWhenUsed/>
    <w:rsid w:val="00A177AD"/>
    <w:rPr>
      <w:sz w:val="20"/>
      <w:szCs w:val="20"/>
    </w:rPr>
  </w:style>
  <w:style w:type="character" w:customStyle="1" w:styleId="CommentTextChar">
    <w:name w:val="Comment Text Char"/>
    <w:basedOn w:val="DefaultParagraphFont"/>
    <w:link w:val="CommentText"/>
    <w:uiPriority w:val="99"/>
    <w:semiHidden/>
    <w:rsid w:val="00A177AD"/>
    <w:rPr>
      <w:sz w:val="20"/>
      <w:szCs w:val="20"/>
    </w:rPr>
  </w:style>
  <w:style w:type="paragraph" w:styleId="CommentSubject">
    <w:name w:val="annotation subject"/>
    <w:basedOn w:val="CommentText"/>
    <w:next w:val="CommentText"/>
    <w:link w:val="CommentSubjectChar"/>
    <w:uiPriority w:val="99"/>
    <w:semiHidden/>
    <w:unhideWhenUsed/>
    <w:rsid w:val="00A177AD"/>
    <w:rPr>
      <w:b/>
      <w:bCs/>
    </w:rPr>
  </w:style>
  <w:style w:type="character" w:customStyle="1" w:styleId="CommentSubjectChar">
    <w:name w:val="Comment Subject Char"/>
    <w:basedOn w:val="CommentTextChar"/>
    <w:link w:val="CommentSubject"/>
    <w:uiPriority w:val="99"/>
    <w:semiHidden/>
    <w:rsid w:val="00A177AD"/>
    <w:rPr>
      <w:b/>
      <w:bCs/>
      <w:sz w:val="20"/>
      <w:szCs w:val="20"/>
    </w:rPr>
  </w:style>
  <w:style w:type="paragraph" w:styleId="Header">
    <w:name w:val="header"/>
    <w:basedOn w:val="Normal"/>
    <w:link w:val="HeaderChar"/>
    <w:uiPriority w:val="99"/>
    <w:unhideWhenUsed/>
    <w:rsid w:val="00465ADE"/>
    <w:pPr>
      <w:tabs>
        <w:tab w:val="center" w:pos="4513"/>
        <w:tab w:val="right" w:pos="9026"/>
      </w:tabs>
    </w:pPr>
  </w:style>
  <w:style w:type="character" w:customStyle="1" w:styleId="HeaderChar">
    <w:name w:val="Header Char"/>
    <w:basedOn w:val="DefaultParagraphFont"/>
    <w:link w:val="Header"/>
    <w:uiPriority w:val="99"/>
    <w:rsid w:val="00465ADE"/>
  </w:style>
  <w:style w:type="character" w:customStyle="1" w:styleId="Heading1Char">
    <w:name w:val="Heading 1 Char"/>
    <w:basedOn w:val="DefaultParagraphFont"/>
    <w:link w:val="Heading1"/>
    <w:uiPriority w:val="9"/>
    <w:rsid w:val="005D67B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C749F"/>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7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E8326D"/>
    <w:pPr>
      <w:keepNext/>
      <w:spacing w:line="360" w:lineRule="auto"/>
      <w:outlineLvl w:val="1"/>
    </w:pPr>
    <w:rPr>
      <w:rFonts w:cs="Arial Unicode MS"/>
      <w:b/>
      <w:bCs/>
      <w:i/>
      <w:szCs w:val="20"/>
      <w:u w:color="000000"/>
      <w:lang w:val="en-US" w:eastAsia="en-GB"/>
    </w:rPr>
  </w:style>
  <w:style w:type="paragraph" w:styleId="Heading9">
    <w:name w:val="heading 9"/>
    <w:basedOn w:val="Normal"/>
    <w:next w:val="Normal"/>
    <w:link w:val="Heading9Char"/>
    <w:uiPriority w:val="9"/>
    <w:semiHidden/>
    <w:unhideWhenUsed/>
    <w:qFormat/>
    <w:rsid w:val="006368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26D"/>
    <w:rPr>
      <w:rFonts w:cs="Arial Unicode MS"/>
      <w:b/>
      <w:bCs/>
      <w:i/>
      <w:szCs w:val="20"/>
      <w:u w:color="000000"/>
      <w:lang w:val="en-US" w:eastAsia="en-GB"/>
    </w:rPr>
  </w:style>
  <w:style w:type="paragraph" w:customStyle="1" w:styleId="Style1">
    <w:name w:val="Style1"/>
    <w:basedOn w:val="Normal"/>
    <w:rsid w:val="00BC62A7"/>
    <w:pPr>
      <w:spacing w:line="360" w:lineRule="auto"/>
    </w:pPr>
    <w:rPr>
      <w:bCs/>
      <w:i/>
      <w:iCs/>
    </w:rPr>
  </w:style>
  <w:style w:type="paragraph" w:customStyle="1" w:styleId="Style2">
    <w:name w:val="Style2"/>
    <w:basedOn w:val="Normal"/>
    <w:autoRedefine/>
    <w:qFormat/>
    <w:rsid w:val="00453D94"/>
    <w:pPr>
      <w:spacing w:line="360" w:lineRule="auto"/>
    </w:pPr>
    <w:rPr>
      <w:i/>
      <w:iCs/>
      <w:sz w:val="28"/>
    </w:rPr>
  </w:style>
  <w:style w:type="paragraph" w:customStyle="1" w:styleId="Heading31">
    <w:name w:val="Heading 31"/>
    <w:basedOn w:val="Heading9"/>
    <w:qFormat/>
    <w:rsid w:val="006368BB"/>
    <w:rPr>
      <w:rFonts w:ascii="Arial" w:hAnsi="Arial"/>
      <w:b/>
      <w:i w:val="0"/>
      <w:sz w:val="28"/>
    </w:rPr>
  </w:style>
  <w:style w:type="character" w:customStyle="1" w:styleId="Heading9Char">
    <w:name w:val="Heading 9 Char"/>
    <w:basedOn w:val="DefaultParagraphFont"/>
    <w:link w:val="Heading9"/>
    <w:uiPriority w:val="9"/>
    <w:semiHidden/>
    <w:rsid w:val="00636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25E55"/>
    <w:pPr>
      <w:ind w:left="720"/>
      <w:contextualSpacing/>
    </w:pPr>
  </w:style>
  <w:style w:type="paragraph" w:styleId="NormalWeb">
    <w:name w:val="Normal (Web)"/>
    <w:basedOn w:val="Normal"/>
    <w:uiPriority w:val="99"/>
    <w:unhideWhenUsed/>
    <w:rsid w:val="00F64A3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A210D"/>
    <w:rPr>
      <w:color w:val="0000FF" w:themeColor="hyperlink"/>
      <w:u w:val="single"/>
    </w:rPr>
  </w:style>
  <w:style w:type="character" w:styleId="FollowedHyperlink">
    <w:name w:val="FollowedHyperlink"/>
    <w:basedOn w:val="DefaultParagraphFont"/>
    <w:uiPriority w:val="99"/>
    <w:semiHidden/>
    <w:unhideWhenUsed/>
    <w:rsid w:val="00246B63"/>
    <w:rPr>
      <w:color w:val="800080" w:themeColor="followedHyperlink"/>
      <w:u w:val="single"/>
    </w:rPr>
  </w:style>
  <w:style w:type="table" w:styleId="TableGrid">
    <w:name w:val="Table Grid"/>
    <w:basedOn w:val="TableNormal"/>
    <w:uiPriority w:val="59"/>
    <w:rsid w:val="0059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57BEC"/>
  </w:style>
  <w:style w:type="character" w:customStyle="1" w:styleId="FootnoteTextChar">
    <w:name w:val="Footnote Text Char"/>
    <w:basedOn w:val="DefaultParagraphFont"/>
    <w:link w:val="FootnoteText"/>
    <w:uiPriority w:val="99"/>
    <w:rsid w:val="00957BEC"/>
  </w:style>
  <w:style w:type="character" w:styleId="FootnoteReference">
    <w:name w:val="footnote reference"/>
    <w:basedOn w:val="DefaultParagraphFont"/>
    <w:uiPriority w:val="99"/>
    <w:unhideWhenUsed/>
    <w:rsid w:val="00957BEC"/>
    <w:rPr>
      <w:vertAlign w:val="superscript"/>
    </w:rPr>
  </w:style>
  <w:style w:type="paragraph" w:styleId="Footer">
    <w:name w:val="footer"/>
    <w:basedOn w:val="Normal"/>
    <w:link w:val="FooterChar"/>
    <w:uiPriority w:val="99"/>
    <w:unhideWhenUsed/>
    <w:rsid w:val="00184882"/>
    <w:pPr>
      <w:tabs>
        <w:tab w:val="center" w:pos="4320"/>
        <w:tab w:val="right" w:pos="8640"/>
      </w:tabs>
    </w:pPr>
  </w:style>
  <w:style w:type="character" w:customStyle="1" w:styleId="FooterChar">
    <w:name w:val="Footer Char"/>
    <w:basedOn w:val="DefaultParagraphFont"/>
    <w:link w:val="Footer"/>
    <w:uiPriority w:val="99"/>
    <w:rsid w:val="00184882"/>
  </w:style>
  <w:style w:type="character" w:styleId="PageNumber">
    <w:name w:val="page number"/>
    <w:basedOn w:val="DefaultParagraphFont"/>
    <w:uiPriority w:val="99"/>
    <w:semiHidden/>
    <w:unhideWhenUsed/>
    <w:rsid w:val="00184882"/>
  </w:style>
  <w:style w:type="character" w:customStyle="1" w:styleId="apple-converted-space">
    <w:name w:val="apple-converted-space"/>
    <w:basedOn w:val="DefaultParagraphFont"/>
    <w:rsid w:val="005D4ED9"/>
  </w:style>
  <w:style w:type="paragraph" w:styleId="BalloonText">
    <w:name w:val="Balloon Text"/>
    <w:basedOn w:val="Normal"/>
    <w:link w:val="BalloonTextChar"/>
    <w:uiPriority w:val="99"/>
    <w:semiHidden/>
    <w:unhideWhenUsed/>
    <w:rsid w:val="00A56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3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77AD"/>
    <w:rPr>
      <w:sz w:val="16"/>
      <w:szCs w:val="16"/>
    </w:rPr>
  </w:style>
  <w:style w:type="paragraph" w:styleId="CommentText">
    <w:name w:val="annotation text"/>
    <w:basedOn w:val="Normal"/>
    <w:link w:val="CommentTextChar"/>
    <w:uiPriority w:val="99"/>
    <w:semiHidden/>
    <w:unhideWhenUsed/>
    <w:rsid w:val="00A177AD"/>
    <w:rPr>
      <w:sz w:val="20"/>
      <w:szCs w:val="20"/>
    </w:rPr>
  </w:style>
  <w:style w:type="character" w:customStyle="1" w:styleId="CommentTextChar">
    <w:name w:val="Comment Text Char"/>
    <w:basedOn w:val="DefaultParagraphFont"/>
    <w:link w:val="CommentText"/>
    <w:uiPriority w:val="99"/>
    <w:semiHidden/>
    <w:rsid w:val="00A177AD"/>
    <w:rPr>
      <w:sz w:val="20"/>
      <w:szCs w:val="20"/>
    </w:rPr>
  </w:style>
  <w:style w:type="paragraph" w:styleId="CommentSubject">
    <w:name w:val="annotation subject"/>
    <w:basedOn w:val="CommentText"/>
    <w:next w:val="CommentText"/>
    <w:link w:val="CommentSubjectChar"/>
    <w:uiPriority w:val="99"/>
    <w:semiHidden/>
    <w:unhideWhenUsed/>
    <w:rsid w:val="00A177AD"/>
    <w:rPr>
      <w:b/>
      <w:bCs/>
    </w:rPr>
  </w:style>
  <w:style w:type="character" w:customStyle="1" w:styleId="CommentSubjectChar">
    <w:name w:val="Comment Subject Char"/>
    <w:basedOn w:val="CommentTextChar"/>
    <w:link w:val="CommentSubject"/>
    <w:uiPriority w:val="99"/>
    <w:semiHidden/>
    <w:rsid w:val="00A177AD"/>
    <w:rPr>
      <w:b/>
      <w:bCs/>
      <w:sz w:val="20"/>
      <w:szCs w:val="20"/>
    </w:rPr>
  </w:style>
  <w:style w:type="paragraph" w:styleId="Header">
    <w:name w:val="header"/>
    <w:basedOn w:val="Normal"/>
    <w:link w:val="HeaderChar"/>
    <w:uiPriority w:val="99"/>
    <w:unhideWhenUsed/>
    <w:rsid w:val="00465ADE"/>
    <w:pPr>
      <w:tabs>
        <w:tab w:val="center" w:pos="4513"/>
        <w:tab w:val="right" w:pos="9026"/>
      </w:tabs>
    </w:pPr>
  </w:style>
  <w:style w:type="character" w:customStyle="1" w:styleId="HeaderChar">
    <w:name w:val="Header Char"/>
    <w:basedOn w:val="DefaultParagraphFont"/>
    <w:link w:val="Header"/>
    <w:uiPriority w:val="99"/>
    <w:rsid w:val="00465ADE"/>
  </w:style>
  <w:style w:type="character" w:customStyle="1" w:styleId="Heading1Char">
    <w:name w:val="Heading 1 Char"/>
    <w:basedOn w:val="DefaultParagraphFont"/>
    <w:link w:val="Heading1"/>
    <w:uiPriority w:val="9"/>
    <w:rsid w:val="005D67B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C749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8585">
      <w:bodyDiv w:val="1"/>
      <w:marLeft w:val="0"/>
      <w:marRight w:val="0"/>
      <w:marTop w:val="0"/>
      <w:marBottom w:val="0"/>
      <w:divBdr>
        <w:top w:val="none" w:sz="0" w:space="0" w:color="auto"/>
        <w:left w:val="none" w:sz="0" w:space="0" w:color="auto"/>
        <w:bottom w:val="none" w:sz="0" w:space="0" w:color="auto"/>
        <w:right w:val="none" w:sz="0" w:space="0" w:color="auto"/>
      </w:divBdr>
    </w:div>
    <w:div w:id="473569438">
      <w:bodyDiv w:val="1"/>
      <w:marLeft w:val="0"/>
      <w:marRight w:val="0"/>
      <w:marTop w:val="0"/>
      <w:marBottom w:val="0"/>
      <w:divBdr>
        <w:top w:val="none" w:sz="0" w:space="0" w:color="auto"/>
        <w:left w:val="none" w:sz="0" w:space="0" w:color="auto"/>
        <w:bottom w:val="none" w:sz="0" w:space="0" w:color="auto"/>
        <w:right w:val="none" w:sz="0" w:space="0" w:color="auto"/>
      </w:divBdr>
      <w:divsChild>
        <w:div w:id="251862345">
          <w:marLeft w:val="0"/>
          <w:marRight w:val="0"/>
          <w:marTop w:val="0"/>
          <w:marBottom w:val="0"/>
          <w:divBdr>
            <w:top w:val="none" w:sz="0" w:space="0" w:color="auto"/>
            <w:left w:val="none" w:sz="0" w:space="0" w:color="auto"/>
            <w:bottom w:val="none" w:sz="0" w:space="0" w:color="auto"/>
            <w:right w:val="none" w:sz="0" w:space="0" w:color="auto"/>
          </w:divBdr>
          <w:divsChild>
            <w:div w:id="1555391535">
              <w:marLeft w:val="0"/>
              <w:marRight w:val="0"/>
              <w:marTop w:val="0"/>
              <w:marBottom w:val="0"/>
              <w:divBdr>
                <w:top w:val="none" w:sz="0" w:space="0" w:color="auto"/>
                <w:left w:val="none" w:sz="0" w:space="0" w:color="auto"/>
                <w:bottom w:val="none" w:sz="0" w:space="0" w:color="auto"/>
                <w:right w:val="none" w:sz="0" w:space="0" w:color="auto"/>
              </w:divBdr>
              <w:divsChild>
                <w:div w:id="20154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9770">
      <w:bodyDiv w:val="1"/>
      <w:marLeft w:val="0"/>
      <w:marRight w:val="0"/>
      <w:marTop w:val="0"/>
      <w:marBottom w:val="0"/>
      <w:divBdr>
        <w:top w:val="none" w:sz="0" w:space="0" w:color="auto"/>
        <w:left w:val="none" w:sz="0" w:space="0" w:color="auto"/>
        <w:bottom w:val="none" w:sz="0" w:space="0" w:color="auto"/>
        <w:right w:val="none" w:sz="0" w:space="0" w:color="auto"/>
      </w:divBdr>
      <w:divsChild>
        <w:div w:id="434982355">
          <w:marLeft w:val="0"/>
          <w:marRight w:val="0"/>
          <w:marTop w:val="0"/>
          <w:marBottom w:val="0"/>
          <w:divBdr>
            <w:top w:val="none" w:sz="0" w:space="0" w:color="auto"/>
            <w:left w:val="none" w:sz="0" w:space="0" w:color="auto"/>
            <w:bottom w:val="none" w:sz="0" w:space="0" w:color="auto"/>
            <w:right w:val="none" w:sz="0" w:space="0" w:color="auto"/>
          </w:divBdr>
          <w:divsChild>
            <w:div w:id="562908096">
              <w:marLeft w:val="0"/>
              <w:marRight w:val="0"/>
              <w:marTop w:val="0"/>
              <w:marBottom w:val="0"/>
              <w:divBdr>
                <w:top w:val="none" w:sz="0" w:space="0" w:color="auto"/>
                <w:left w:val="none" w:sz="0" w:space="0" w:color="auto"/>
                <w:bottom w:val="none" w:sz="0" w:space="0" w:color="auto"/>
                <w:right w:val="none" w:sz="0" w:space="0" w:color="auto"/>
              </w:divBdr>
              <w:divsChild>
                <w:div w:id="6572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8022">
      <w:bodyDiv w:val="1"/>
      <w:marLeft w:val="0"/>
      <w:marRight w:val="0"/>
      <w:marTop w:val="0"/>
      <w:marBottom w:val="0"/>
      <w:divBdr>
        <w:top w:val="none" w:sz="0" w:space="0" w:color="auto"/>
        <w:left w:val="none" w:sz="0" w:space="0" w:color="auto"/>
        <w:bottom w:val="none" w:sz="0" w:space="0" w:color="auto"/>
        <w:right w:val="none" w:sz="0" w:space="0" w:color="auto"/>
      </w:divBdr>
      <w:divsChild>
        <w:div w:id="164514205">
          <w:marLeft w:val="0"/>
          <w:marRight w:val="0"/>
          <w:marTop w:val="0"/>
          <w:marBottom w:val="0"/>
          <w:divBdr>
            <w:top w:val="none" w:sz="0" w:space="0" w:color="auto"/>
            <w:left w:val="none" w:sz="0" w:space="0" w:color="auto"/>
            <w:bottom w:val="none" w:sz="0" w:space="0" w:color="auto"/>
            <w:right w:val="none" w:sz="0" w:space="0" w:color="auto"/>
          </w:divBdr>
          <w:divsChild>
            <w:div w:id="810253311">
              <w:marLeft w:val="0"/>
              <w:marRight w:val="0"/>
              <w:marTop w:val="0"/>
              <w:marBottom w:val="0"/>
              <w:divBdr>
                <w:top w:val="none" w:sz="0" w:space="0" w:color="auto"/>
                <w:left w:val="none" w:sz="0" w:space="0" w:color="auto"/>
                <w:bottom w:val="none" w:sz="0" w:space="0" w:color="auto"/>
                <w:right w:val="none" w:sz="0" w:space="0" w:color="auto"/>
              </w:divBdr>
              <w:divsChild>
                <w:div w:id="16616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9876">
      <w:bodyDiv w:val="1"/>
      <w:marLeft w:val="0"/>
      <w:marRight w:val="0"/>
      <w:marTop w:val="0"/>
      <w:marBottom w:val="0"/>
      <w:divBdr>
        <w:top w:val="none" w:sz="0" w:space="0" w:color="auto"/>
        <w:left w:val="none" w:sz="0" w:space="0" w:color="auto"/>
        <w:bottom w:val="none" w:sz="0" w:space="0" w:color="auto"/>
        <w:right w:val="none" w:sz="0" w:space="0" w:color="auto"/>
      </w:divBdr>
      <w:divsChild>
        <w:div w:id="351228351">
          <w:marLeft w:val="0"/>
          <w:marRight w:val="0"/>
          <w:marTop w:val="0"/>
          <w:marBottom w:val="0"/>
          <w:divBdr>
            <w:top w:val="none" w:sz="0" w:space="0" w:color="auto"/>
            <w:left w:val="none" w:sz="0" w:space="0" w:color="auto"/>
            <w:bottom w:val="none" w:sz="0" w:space="0" w:color="auto"/>
            <w:right w:val="none" w:sz="0" w:space="0" w:color="auto"/>
          </w:divBdr>
          <w:divsChild>
            <w:div w:id="591355351">
              <w:marLeft w:val="0"/>
              <w:marRight w:val="0"/>
              <w:marTop w:val="0"/>
              <w:marBottom w:val="0"/>
              <w:divBdr>
                <w:top w:val="none" w:sz="0" w:space="0" w:color="auto"/>
                <w:left w:val="none" w:sz="0" w:space="0" w:color="auto"/>
                <w:bottom w:val="none" w:sz="0" w:space="0" w:color="auto"/>
                <w:right w:val="none" w:sz="0" w:space="0" w:color="auto"/>
              </w:divBdr>
              <w:divsChild>
                <w:div w:id="785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50954">
      <w:bodyDiv w:val="1"/>
      <w:marLeft w:val="0"/>
      <w:marRight w:val="0"/>
      <w:marTop w:val="0"/>
      <w:marBottom w:val="0"/>
      <w:divBdr>
        <w:top w:val="none" w:sz="0" w:space="0" w:color="auto"/>
        <w:left w:val="none" w:sz="0" w:space="0" w:color="auto"/>
        <w:bottom w:val="none" w:sz="0" w:space="0" w:color="auto"/>
        <w:right w:val="none" w:sz="0" w:space="0" w:color="auto"/>
      </w:divBdr>
      <w:divsChild>
        <w:div w:id="1760641240">
          <w:marLeft w:val="0"/>
          <w:marRight w:val="0"/>
          <w:marTop w:val="0"/>
          <w:marBottom w:val="0"/>
          <w:divBdr>
            <w:top w:val="none" w:sz="0" w:space="0" w:color="auto"/>
            <w:left w:val="none" w:sz="0" w:space="0" w:color="auto"/>
            <w:bottom w:val="none" w:sz="0" w:space="0" w:color="auto"/>
            <w:right w:val="none" w:sz="0" w:space="0" w:color="auto"/>
          </w:divBdr>
          <w:divsChild>
            <w:div w:id="449324361">
              <w:marLeft w:val="0"/>
              <w:marRight w:val="0"/>
              <w:marTop w:val="0"/>
              <w:marBottom w:val="0"/>
              <w:divBdr>
                <w:top w:val="none" w:sz="0" w:space="0" w:color="auto"/>
                <w:left w:val="none" w:sz="0" w:space="0" w:color="auto"/>
                <w:bottom w:val="none" w:sz="0" w:space="0" w:color="auto"/>
                <w:right w:val="none" w:sz="0" w:space="0" w:color="auto"/>
              </w:divBdr>
              <w:divsChild>
                <w:div w:id="1224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8561">
      <w:bodyDiv w:val="1"/>
      <w:marLeft w:val="0"/>
      <w:marRight w:val="0"/>
      <w:marTop w:val="0"/>
      <w:marBottom w:val="0"/>
      <w:divBdr>
        <w:top w:val="none" w:sz="0" w:space="0" w:color="auto"/>
        <w:left w:val="none" w:sz="0" w:space="0" w:color="auto"/>
        <w:bottom w:val="none" w:sz="0" w:space="0" w:color="auto"/>
        <w:right w:val="none" w:sz="0" w:space="0" w:color="auto"/>
      </w:divBdr>
      <w:divsChild>
        <w:div w:id="1552687712">
          <w:marLeft w:val="0"/>
          <w:marRight w:val="0"/>
          <w:marTop w:val="0"/>
          <w:marBottom w:val="0"/>
          <w:divBdr>
            <w:top w:val="none" w:sz="0" w:space="0" w:color="auto"/>
            <w:left w:val="none" w:sz="0" w:space="0" w:color="auto"/>
            <w:bottom w:val="none" w:sz="0" w:space="0" w:color="auto"/>
            <w:right w:val="none" w:sz="0" w:space="0" w:color="auto"/>
          </w:divBdr>
          <w:divsChild>
            <w:div w:id="823660974">
              <w:marLeft w:val="0"/>
              <w:marRight w:val="0"/>
              <w:marTop w:val="0"/>
              <w:marBottom w:val="0"/>
              <w:divBdr>
                <w:top w:val="none" w:sz="0" w:space="0" w:color="auto"/>
                <w:left w:val="none" w:sz="0" w:space="0" w:color="auto"/>
                <w:bottom w:val="none" w:sz="0" w:space="0" w:color="auto"/>
                <w:right w:val="none" w:sz="0" w:space="0" w:color="auto"/>
              </w:divBdr>
              <w:divsChild>
                <w:div w:id="20856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2414">
      <w:bodyDiv w:val="1"/>
      <w:marLeft w:val="0"/>
      <w:marRight w:val="0"/>
      <w:marTop w:val="0"/>
      <w:marBottom w:val="0"/>
      <w:divBdr>
        <w:top w:val="none" w:sz="0" w:space="0" w:color="auto"/>
        <w:left w:val="none" w:sz="0" w:space="0" w:color="auto"/>
        <w:bottom w:val="none" w:sz="0" w:space="0" w:color="auto"/>
        <w:right w:val="none" w:sz="0" w:space="0" w:color="auto"/>
      </w:divBdr>
      <w:divsChild>
        <w:div w:id="1832133319">
          <w:marLeft w:val="0"/>
          <w:marRight w:val="0"/>
          <w:marTop w:val="0"/>
          <w:marBottom w:val="0"/>
          <w:divBdr>
            <w:top w:val="none" w:sz="0" w:space="0" w:color="auto"/>
            <w:left w:val="none" w:sz="0" w:space="0" w:color="auto"/>
            <w:bottom w:val="none" w:sz="0" w:space="0" w:color="auto"/>
            <w:right w:val="none" w:sz="0" w:space="0" w:color="auto"/>
          </w:divBdr>
          <w:divsChild>
            <w:div w:id="1365326468">
              <w:marLeft w:val="0"/>
              <w:marRight w:val="0"/>
              <w:marTop w:val="0"/>
              <w:marBottom w:val="0"/>
              <w:divBdr>
                <w:top w:val="none" w:sz="0" w:space="0" w:color="auto"/>
                <w:left w:val="none" w:sz="0" w:space="0" w:color="auto"/>
                <w:bottom w:val="none" w:sz="0" w:space="0" w:color="auto"/>
                <w:right w:val="none" w:sz="0" w:space="0" w:color="auto"/>
              </w:divBdr>
              <w:divsChild>
                <w:div w:id="2131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7533">
      <w:bodyDiv w:val="1"/>
      <w:marLeft w:val="0"/>
      <w:marRight w:val="0"/>
      <w:marTop w:val="0"/>
      <w:marBottom w:val="0"/>
      <w:divBdr>
        <w:top w:val="none" w:sz="0" w:space="0" w:color="auto"/>
        <w:left w:val="none" w:sz="0" w:space="0" w:color="auto"/>
        <w:bottom w:val="none" w:sz="0" w:space="0" w:color="auto"/>
        <w:right w:val="none" w:sz="0" w:space="0" w:color="auto"/>
      </w:divBdr>
      <w:divsChild>
        <w:div w:id="2032415870">
          <w:marLeft w:val="0"/>
          <w:marRight w:val="0"/>
          <w:marTop w:val="0"/>
          <w:marBottom w:val="0"/>
          <w:divBdr>
            <w:top w:val="none" w:sz="0" w:space="0" w:color="auto"/>
            <w:left w:val="none" w:sz="0" w:space="0" w:color="auto"/>
            <w:bottom w:val="none" w:sz="0" w:space="0" w:color="auto"/>
            <w:right w:val="none" w:sz="0" w:space="0" w:color="auto"/>
          </w:divBdr>
          <w:divsChild>
            <w:div w:id="1465124444">
              <w:marLeft w:val="0"/>
              <w:marRight w:val="0"/>
              <w:marTop w:val="0"/>
              <w:marBottom w:val="0"/>
              <w:divBdr>
                <w:top w:val="none" w:sz="0" w:space="0" w:color="auto"/>
                <w:left w:val="none" w:sz="0" w:space="0" w:color="auto"/>
                <w:bottom w:val="none" w:sz="0" w:space="0" w:color="auto"/>
                <w:right w:val="none" w:sz="0" w:space="0" w:color="auto"/>
              </w:divBdr>
              <w:divsChild>
                <w:div w:id="1775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064">
      <w:bodyDiv w:val="1"/>
      <w:marLeft w:val="0"/>
      <w:marRight w:val="0"/>
      <w:marTop w:val="0"/>
      <w:marBottom w:val="0"/>
      <w:divBdr>
        <w:top w:val="none" w:sz="0" w:space="0" w:color="auto"/>
        <w:left w:val="none" w:sz="0" w:space="0" w:color="auto"/>
        <w:bottom w:val="none" w:sz="0" w:space="0" w:color="auto"/>
        <w:right w:val="none" w:sz="0" w:space="0" w:color="auto"/>
      </w:divBdr>
      <w:divsChild>
        <w:div w:id="1018430696">
          <w:marLeft w:val="0"/>
          <w:marRight w:val="0"/>
          <w:marTop w:val="0"/>
          <w:marBottom w:val="0"/>
          <w:divBdr>
            <w:top w:val="none" w:sz="0" w:space="0" w:color="auto"/>
            <w:left w:val="none" w:sz="0" w:space="0" w:color="auto"/>
            <w:bottom w:val="none" w:sz="0" w:space="0" w:color="auto"/>
            <w:right w:val="none" w:sz="0" w:space="0" w:color="auto"/>
          </w:divBdr>
          <w:divsChild>
            <w:div w:id="588272871">
              <w:marLeft w:val="0"/>
              <w:marRight w:val="0"/>
              <w:marTop w:val="0"/>
              <w:marBottom w:val="0"/>
              <w:divBdr>
                <w:top w:val="none" w:sz="0" w:space="0" w:color="auto"/>
                <w:left w:val="none" w:sz="0" w:space="0" w:color="auto"/>
                <w:bottom w:val="none" w:sz="0" w:space="0" w:color="auto"/>
                <w:right w:val="none" w:sz="0" w:space="0" w:color="auto"/>
              </w:divBdr>
              <w:divsChild>
                <w:div w:id="55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2695">
      <w:bodyDiv w:val="1"/>
      <w:marLeft w:val="0"/>
      <w:marRight w:val="0"/>
      <w:marTop w:val="0"/>
      <w:marBottom w:val="0"/>
      <w:divBdr>
        <w:top w:val="none" w:sz="0" w:space="0" w:color="auto"/>
        <w:left w:val="none" w:sz="0" w:space="0" w:color="auto"/>
        <w:bottom w:val="none" w:sz="0" w:space="0" w:color="auto"/>
        <w:right w:val="none" w:sz="0" w:space="0" w:color="auto"/>
      </w:divBdr>
      <w:divsChild>
        <w:div w:id="1566720363">
          <w:marLeft w:val="0"/>
          <w:marRight w:val="0"/>
          <w:marTop w:val="0"/>
          <w:marBottom w:val="0"/>
          <w:divBdr>
            <w:top w:val="none" w:sz="0" w:space="0" w:color="auto"/>
            <w:left w:val="none" w:sz="0" w:space="0" w:color="auto"/>
            <w:bottom w:val="none" w:sz="0" w:space="0" w:color="auto"/>
            <w:right w:val="none" w:sz="0" w:space="0" w:color="auto"/>
          </w:divBdr>
          <w:divsChild>
            <w:div w:id="979843669">
              <w:marLeft w:val="0"/>
              <w:marRight w:val="0"/>
              <w:marTop w:val="0"/>
              <w:marBottom w:val="0"/>
              <w:divBdr>
                <w:top w:val="none" w:sz="0" w:space="0" w:color="auto"/>
                <w:left w:val="none" w:sz="0" w:space="0" w:color="auto"/>
                <w:bottom w:val="none" w:sz="0" w:space="0" w:color="auto"/>
                <w:right w:val="none" w:sz="0" w:space="0" w:color="auto"/>
              </w:divBdr>
              <w:divsChild>
                <w:div w:id="699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8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07095">
          <w:marLeft w:val="0"/>
          <w:marRight w:val="0"/>
          <w:marTop w:val="0"/>
          <w:marBottom w:val="0"/>
          <w:divBdr>
            <w:top w:val="none" w:sz="0" w:space="0" w:color="auto"/>
            <w:left w:val="none" w:sz="0" w:space="0" w:color="auto"/>
            <w:bottom w:val="none" w:sz="0" w:space="0" w:color="auto"/>
            <w:right w:val="none" w:sz="0" w:space="0" w:color="auto"/>
          </w:divBdr>
          <w:divsChild>
            <w:div w:id="236479117">
              <w:marLeft w:val="0"/>
              <w:marRight w:val="0"/>
              <w:marTop w:val="0"/>
              <w:marBottom w:val="0"/>
              <w:divBdr>
                <w:top w:val="none" w:sz="0" w:space="0" w:color="auto"/>
                <w:left w:val="none" w:sz="0" w:space="0" w:color="auto"/>
                <w:bottom w:val="none" w:sz="0" w:space="0" w:color="auto"/>
                <w:right w:val="none" w:sz="0" w:space="0" w:color="auto"/>
              </w:divBdr>
              <w:divsChild>
                <w:div w:id="14631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293">
      <w:bodyDiv w:val="1"/>
      <w:marLeft w:val="0"/>
      <w:marRight w:val="0"/>
      <w:marTop w:val="0"/>
      <w:marBottom w:val="0"/>
      <w:divBdr>
        <w:top w:val="none" w:sz="0" w:space="0" w:color="auto"/>
        <w:left w:val="none" w:sz="0" w:space="0" w:color="auto"/>
        <w:bottom w:val="none" w:sz="0" w:space="0" w:color="auto"/>
        <w:right w:val="none" w:sz="0" w:space="0" w:color="auto"/>
      </w:divBdr>
      <w:divsChild>
        <w:div w:id="359864350">
          <w:marLeft w:val="0"/>
          <w:marRight w:val="0"/>
          <w:marTop w:val="0"/>
          <w:marBottom w:val="0"/>
          <w:divBdr>
            <w:top w:val="none" w:sz="0" w:space="0" w:color="auto"/>
            <w:left w:val="none" w:sz="0" w:space="0" w:color="auto"/>
            <w:bottom w:val="none" w:sz="0" w:space="0" w:color="auto"/>
            <w:right w:val="none" w:sz="0" w:space="0" w:color="auto"/>
          </w:divBdr>
          <w:divsChild>
            <w:div w:id="1682970239">
              <w:marLeft w:val="0"/>
              <w:marRight w:val="0"/>
              <w:marTop w:val="0"/>
              <w:marBottom w:val="0"/>
              <w:divBdr>
                <w:top w:val="none" w:sz="0" w:space="0" w:color="auto"/>
                <w:left w:val="none" w:sz="0" w:space="0" w:color="auto"/>
                <w:bottom w:val="none" w:sz="0" w:space="0" w:color="auto"/>
                <w:right w:val="none" w:sz="0" w:space="0" w:color="auto"/>
              </w:divBdr>
              <w:divsChild>
                <w:div w:id="1495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4392">
      <w:bodyDiv w:val="1"/>
      <w:marLeft w:val="0"/>
      <w:marRight w:val="0"/>
      <w:marTop w:val="0"/>
      <w:marBottom w:val="0"/>
      <w:divBdr>
        <w:top w:val="none" w:sz="0" w:space="0" w:color="auto"/>
        <w:left w:val="none" w:sz="0" w:space="0" w:color="auto"/>
        <w:bottom w:val="none" w:sz="0" w:space="0" w:color="auto"/>
        <w:right w:val="none" w:sz="0" w:space="0" w:color="auto"/>
      </w:divBdr>
      <w:divsChild>
        <w:div w:id="1862426112">
          <w:marLeft w:val="0"/>
          <w:marRight w:val="0"/>
          <w:marTop w:val="0"/>
          <w:marBottom w:val="0"/>
          <w:divBdr>
            <w:top w:val="none" w:sz="0" w:space="0" w:color="auto"/>
            <w:left w:val="none" w:sz="0" w:space="0" w:color="auto"/>
            <w:bottom w:val="none" w:sz="0" w:space="0" w:color="auto"/>
            <w:right w:val="none" w:sz="0" w:space="0" w:color="auto"/>
          </w:divBdr>
          <w:divsChild>
            <w:div w:id="1355303951">
              <w:marLeft w:val="0"/>
              <w:marRight w:val="0"/>
              <w:marTop w:val="0"/>
              <w:marBottom w:val="0"/>
              <w:divBdr>
                <w:top w:val="none" w:sz="0" w:space="0" w:color="auto"/>
                <w:left w:val="none" w:sz="0" w:space="0" w:color="auto"/>
                <w:bottom w:val="none" w:sz="0" w:space="0" w:color="auto"/>
                <w:right w:val="none" w:sz="0" w:space="0" w:color="auto"/>
              </w:divBdr>
              <w:divsChild>
                <w:div w:id="16910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1269">
      <w:bodyDiv w:val="1"/>
      <w:marLeft w:val="0"/>
      <w:marRight w:val="0"/>
      <w:marTop w:val="0"/>
      <w:marBottom w:val="0"/>
      <w:divBdr>
        <w:top w:val="none" w:sz="0" w:space="0" w:color="auto"/>
        <w:left w:val="none" w:sz="0" w:space="0" w:color="auto"/>
        <w:bottom w:val="none" w:sz="0" w:space="0" w:color="auto"/>
        <w:right w:val="none" w:sz="0" w:space="0" w:color="auto"/>
      </w:divBdr>
      <w:divsChild>
        <w:div w:id="1260212049">
          <w:marLeft w:val="0"/>
          <w:marRight w:val="0"/>
          <w:marTop w:val="0"/>
          <w:marBottom w:val="0"/>
          <w:divBdr>
            <w:top w:val="none" w:sz="0" w:space="0" w:color="auto"/>
            <w:left w:val="none" w:sz="0" w:space="0" w:color="auto"/>
            <w:bottom w:val="none" w:sz="0" w:space="0" w:color="auto"/>
            <w:right w:val="none" w:sz="0" w:space="0" w:color="auto"/>
          </w:divBdr>
          <w:divsChild>
            <w:div w:id="1541749219">
              <w:marLeft w:val="0"/>
              <w:marRight w:val="0"/>
              <w:marTop w:val="0"/>
              <w:marBottom w:val="0"/>
              <w:divBdr>
                <w:top w:val="none" w:sz="0" w:space="0" w:color="auto"/>
                <w:left w:val="none" w:sz="0" w:space="0" w:color="auto"/>
                <w:bottom w:val="none" w:sz="0" w:space="0" w:color="auto"/>
                <w:right w:val="none" w:sz="0" w:space="0" w:color="auto"/>
              </w:divBdr>
              <w:divsChild>
                <w:div w:id="1777480513">
                  <w:marLeft w:val="0"/>
                  <w:marRight w:val="0"/>
                  <w:marTop w:val="0"/>
                  <w:marBottom w:val="0"/>
                  <w:divBdr>
                    <w:top w:val="none" w:sz="0" w:space="0" w:color="auto"/>
                    <w:left w:val="none" w:sz="0" w:space="0" w:color="auto"/>
                    <w:bottom w:val="none" w:sz="0" w:space="0" w:color="auto"/>
                    <w:right w:val="none" w:sz="0" w:space="0" w:color="auto"/>
                  </w:divBdr>
                  <w:divsChild>
                    <w:div w:id="17423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1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net.leicester.gov.uk/documents/g6806/Printed%20minutes%20Wednesday%2025-Mar-2015%2017.30%20Health%20and%20Wellbeing%20Scrutiny%20Commission.pdf?T=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tics.leics.gov.uk/documents/s107708/The%20Future%20of%20Intensive%20Care%20at%20UH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gland.nhs.uk/publication/planning-assuring-and-delivering-service-change-for-patients/" TargetMode="External"/><Relationship Id="rId4" Type="http://schemas.openxmlformats.org/officeDocument/2006/relationships/settings" Target="settings.xml"/><Relationship Id="rId9" Type="http://schemas.openxmlformats.org/officeDocument/2006/relationships/hyperlink" Target="https://www.england.nhs.uk/wp-content/uploads/2017/05/patient-and-public-participation-guidance.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7/05/patient-and-public-participation-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6362</Words>
  <Characters>36267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Underwood</dc:creator>
  <cp:lastModifiedBy>Windows User</cp:lastModifiedBy>
  <cp:revision>2</cp:revision>
  <cp:lastPrinted>2018-08-10T11:00:00Z</cp:lastPrinted>
  <dcterms:created xsi:type="dcterms:W3CDTF">2018-10-02T12:18:00Z</dcterms:created>
  <dcterms:modified xsi:type="dcterms:W3CDTF">2018-10-02T12:18:00Z</dcterms:modified>
</cp:coreProperties>
</file>